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2192C" w14:textId="77777777" w:rsidR="004D27DA" w:rsidRDefault="004D27DA" w:rsidP="004D27DA">
      <w:pPr>
        <w:tabs>
          <w:tab w:val="center" w:pos="4680"/>
          <w:tab w:val="left" w:pos="8223"/>
        </w:tabs>
        <w:ind w:left="-90" w:firstLine="90"/>
        <w:jc w:val="center"/>
        <w:rPr>
          <w:b/>
          <w:sz w:val="44"/>
          <w:szCs w:val="44"/>
        </w:rPr>
      </w:pPr>
    </w:p>
    <w:p w14:paraId="268C94E0" w14:textId="77777777" w:rsidR="004D27DA" w:rsidRDefault="004D27DA" w:rsidP="004D27DA">
      <w:pPr>
        <w:tabs>
          <w:tab w:val="center" w:pos="4680"/>
          <w:tab w:val="left" w:pos="8223"/>
        </w:tabs>
        <w:ind w:left="-90" w:firstLine="90"/>
        <w:jc w:val="center"/>
        <w:rPr>
          <w:b/>
          <w:sz w:val="44"/>
          <w:szCs w:val="44"/>
        </w:rPr>
      </w:pPr>
    </w:p>
    <w:p w14:paraId="7A38162F" w14:textId="4DFFDA21" w:rsidR="004D27DA" w:rsidRPr="004D27DA" w:rsidRDefault="00F20FDC" w:rsidP="008760A3">
      <w:pPr>
        <w:tabs>
          <w:tab w:val="center" w:pos="4680"/>
          <w:tab w:val="left" w:pos="8223"/>
        </w:tabs>
        <w:ind w:left="-90" w:firstLine="90"/>
        <w:jc w:val="center"/>
        <w:rPr>
          <w:b/>
          <w:sz w:val="72"/>
          <w:szCs w:val="44"/>
        </w:rPr>
      </w:pPr>
      <w:r w:rsidRPr="00D62337">
        <w:rPr>
          <w:b/>
          <w:sz w:val="72"/>
          <w:szCs w:val="44"/>
        </w:rPr>
        <w:t>Tennessee Nature Conservancy/UT AgResearch Working Woodlands Project</w:t>
      </w:r>
      <w:r w:rsidR="00205C0A" w:rsidRPr="00205C0A">
        <w:rPr>
          <w:b/>
          <w:sz w:val="72"/>
          <w:szCs w:val="44"/>
        </w:rPr>
        <w:t xml:space="preserve"> </w:t>
      </w:r>
    </w:p>
    <w:p w14:paraId="54B80DD9" w14:textId="286AF5EC" w:rsidR="004D27DA" w:rsidRPr="004D27DA" w:rsidRDefault="009C4B14" w:rsidP="004D27DA">
      <w:pPr>
        <w:tabs>
          <w:tab w:val="center" w:pos="4680"/>
          <w:tab w:val="left" w:pos="8223"/>
        </w:tabs>
        <w:ind w:left="-90" w:firstLine="90"/>
        <w:jc w:val="center"/>
        <w:rPr>
          <w:b/>
          <w:sz w:val="48"/>
          <w:szCs w:val="44"/>
        </w:rPr>
      </w:pPr>
      <w:r>
        <w:rPr>
          <w:b/>
          <w:sz w:val="48"/>
          <w:szCs w:val="44"/>
        </w:rPr>
        <w:t>December 2021</w:t>
      </w:r>
    </w:p>
    <w:p w14:paraId="33F81294" w14:textId="77777777" w:rsidR="004D27DA" w:rsidRDefault="004D27DA" w:rsidP="004D27DA">
      <w:pPr>
        <w:tabs>
          <w:tab w:val="center" w:pos="4680"/>
          <w:tab w:val="left" w:pos="8223"/>
        </w:tabs>
        <w:ind w:left="-90" w:firstLine="90"/>
        <w:jc w:val="center"/>
        <w:rPr>
          <w:b/>
          <w:sz w:val="44"/>
          <w:szCs w:val="44"/>
        </w:rPr>
      </w:pPr>
    </w:p>
    <w:p w14:paraId="4EED7BF3" w14:textId="77777777" w:rsidR="004D27DA" w:rsidRDefault="004D27DA" w:rsidP="004D27DA">
      <w:pPr>
        <w:tabs>
          <w:tab w:val="center" w:pos="4680"/>
          <w:tab w:val="left" w:pos="8223"/>
        </w:tabs>
        <w:ind w:left="-90" w:firstLine="90"/>
        <w:jc w:val="center"/>
        <w:rPr>
          <w:b/>
          <w:sz w:val="44"/>
          <w:szCs w:val="44"/>
        </w:rPr>
      </w:pPr>
    </w:p>
    <w:p w14:paraId="07B8FE5C" w14:textId="50849DFC" w:rsidR="004D27DA" w:rsidRPr="004D27DA" w:rsidRDefault="008A61CE" w:rsidP="571B027D">
      <w:pPr>
        <w:tabs>
          <w:tab w:val="center" w:pos="4680"/>
          <w:tab w:val="left" w:pos="8098"/>
          <w:tab w:val="left" w:pos="8223"/>
        </w:tabs>
        <w:ind w:left="-90" w:firstLine="90"/>
        <w:rPr>
          <w:b/>
          <w:bCs/>
          <w:sz w:val="72"/>
          <w:szCs w:val="72"/>
        </w:rPr>
      </w:pPr>
      <w:r>
        <w:rPr>
          <w:b/>
          <w:sz w:val="72"/>
          <w:szCs w:val="44"/>
        </w:rPr>
        <w:tab/>
      </w:r>
      <w:r w:rsidR="00AD6F46">
        <w:rPr>
          <w:b/>
          <w:bCs/>
          <w:sz w:val="72"/>
          <w:szCs w:val="72"/>
        </w:rPr>
        <w:t>The Nature Conservancy</w:t>
      </w:r>
      <w:r>
        <w:rPr>
          <w:b/>
          <w:sz w:val="72"/>
          <w:szCs w:val="44"/>
        </w:rPr>
        <w:tab/>
      </w:r>
    </w:p>
    <w:p w14:paraId="5F02C42B" w14:textId="77777777" w:rsidR="004D27DA" w:rsidRDefault="004D27DA" w:rsidP="004D27DA">
      <w:pPr>
        <w:tabs>
          <w:tab w:val="center" w:pos="4680"/>
          <w:tab w:val="left" w:pos="8223"/>
        </w:tabs>
        <w:ind w:left="-90" w:firstLine="90"/>
        <w:jc w:val="center"/>
      </w:pPr>
    </w:p>
    <w:p w14:paraId="082CA108" w14:textId="77777777" w:rsidR="004D27DA" w:rsidRPr="003531C0" w:rsidRDefault="004D27DA" w:rsidP="004D27DA">
      <w:pPr>
        <w:rPr>
          <w:sz w:val="48"/>
          <w:szCs w:val="48"/>
          <w:bdr w:val="single" w:sz="24" w:space="0" w:color="auto"/>
          <w:shd w:val="clear" w:color="auto" w:fill="C2D69B" w:themeFill="accent3" w:themeFillTint="99"/>
        </w:rPr>
        <w:sectPr w:rsidR="004D27DA" w:rsidRPr="003531C0" w:rsidSect="00D530E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bookmarkStart w:id="0" w:name="_Toc2243479" w:displacedByCustomXml="next"/>
    <w:sdt>
      <w:sdtPr>
        <w:rPr>
          <w:rFonts w:eastAsiaTheme="minorHAnsi" w:cstheme="minorBidi"/>
          <w:b w:val="0"/>
          <w:bCs w:val="0"/>
          <w:sz w:val="22"/>
          <w:szCs w:val="22"/>
        </w:rPr>
        <w:id w:val="505951191"/>
        <w:docPartObj>
          <w:docPartGallery w:val="Table of Contents"/>
          <w:docPartUnique/>
        </w:docPartObj>
      </w:sdtPr>
      <w:sdtEndPr>
        <w:rPr>
          <w:rFonts w:eastAsiaTheme="minorEastAsia"/>
        </w:rPr>
      </w:sdtEndPr>
      <w:sdtContent>
        <w:p w14:paraId="332A699A" w14:textId="77777777" w:rsidR="00661201" w:rsidRDefault="00661201" w:rsidP="00A032A8">
          <w:pPr>
            <w:pStyle w:val="Heading1"/>
          </w:pPr>
          <w:r w:rsidRPr="00864FFA">
            <w:t>Table of Contents</w:t>
          </w:r>
          <w:bookmarkEnd w:id="0"/>
        </w:p>
        <w:p w14:paraId="4269B345" w14:textId="3616297F" w:rsidR="00ED0D50" w:rsidRDefault="00B240B3">
          <w:pPr>
            <w:pStyle w:val="TOC1"/>
            <w:tabs>
              <w:tab w:val="right" w:leader="dot" w:pos="9350"/>
            </w:tabs>
            <w:rPr>
              <w:noProof/>
              <w:lang w:val="es-MX" w:eastAsia="es-MX"/>
            </w:rPr>
          </w:pPr>
          <w:r>
            <w:fldChar w:fldCharType="begin"/>
          </w:r>
          <w:r w:rsidR="00661201">
            <w:instrText xml:space="preserve"> TOC \o "1-3" \h \z \u </w:instrText>
          </w:r>
          <w:r>
            <w:fldChar w:fldCharType="separate"/>
          </w:r>
          <w:hyperlink w:anchor="_Toc2243479" w:history="1">
            <w:r w:rsidR="00ED0D50" w:rsidRPr="00993667">
              <w:rPr>
                <w:rStyle w:val="Hyperlink"/>
                <w:noProof/>
              </w:rPr>
              <w:t>Table of Contents</w:t>
            </w:r>
            <w:r w:rsidR="00ED0D50">
              <w:rPr>
                <w:noProof/>
                <w:webHidden/>
              </w:rPr>
              <w:tab/>
            </w:r>
            <w:r w:rsidR="00ED0D50">
              <w:rPr>
                <w:noProof/>
                <w:webHidden/>
              </w:rPr>
              <w:fldChar w:fldCharType="begin"/>
            </w:r>
            <w:r w:rsidR="00ED0D50">
              <w:rPr>
                <w:noProof/>
                <w:webHidden/>
              </w:rPr>
              <w:instrText xml:space="preserve"> PAGEREF _Toc2243479 \h </w:instrText>
            </w:r>
            <w:r w:rsidR="00ED0D50">
              <w:rPr>
                <w:noProof/>
                <w:webHidden/>
              </w:rPr>
            </w:r>
            <w:r w:rsidR="00ED0D50">
              <w:rPr>
                <w:noProof/>
                <w:webHidden/>
              </w:rPr>
              <w:fldChar w:fldCharType="separate"/>
            </w:r>
            <w:r w:rsidR="00473B08">
              <w:rPr>
                <w:noProof/>
                <w:webHidden/>
              </w:rPr>
              <w:t>2</w:t>
            </w:r>
            <w:r w:rsidR="00ED0D50">
              <w:rPr>
                <w:noProof/>
                <w:webHidden/>
              </w:rPr>
              <w:fldChar w:fldCharType="end"/>
            </w:r>
          </w:hyperlink>
        </w:p>
        <w:p w14:paraId="6C0F4517" w14:textId="1776947F" w:rsidR="00ED0D50" w:rsidRDefault="00075CF7">
          <w:pPr>
            <w:pStyle w:val="TOC1"/>
            <w:tabs>
              <w:tab w:val="right" w:leader="dot" w:pos="9350"/>
            </w:tabs>
            <w:rPr>
              <w:noProof/>
              <w:lang w:val="es-MX" w:eastAsia="es-MX"/>
            </w:rPr>
          </w:pPr>
          <w:hyperlink w:anchor="_Toc2243480" w:history="1">
            <w:r w:rsidR="00ED0D50" w:rsidRPr="00993667">
              <w:rPr>
                <w:rStyle w:val="Hyperlink"/>
                <w:noProof/>
              </w:rPr>
              <w:t>A. PROJECT OVERVIEW</w:t>
            </w:r>
            <w:r w:rsidR="00ED0D50">
              <w:rPr>
                <w:noProof/>
                <w:webHidden/>
              </w:rPr>
              <w:tab/>
            </w:r>
            <w:r w:rsidR="00ED0D50">
              <w:rPr>
                <w:noProof/>
                <w:webHidden/>
              </w:rPr>
              <w:fldChar w:fldCharType="begin"/>
            </w:r>
            <w:r w:rsidR="00ED0D50">
              <w:rPr>
                <w:noProof/>
                <w:webHidden/>
              </w:rPr>
              <w:instrText xml:space="preserve"> PAGEREF _Toc2243480 \h </w:instrText>
            </w:r>
            <w:r w:rsidR="00ED0D50">
              <w:rPr>
                <w:noProof/>
                <w:webHidden/>
              </w:rPr>
            </w:r>
            <w:r w:rsidR="00ED0D50">
              <w:rPr>
                <w:noProof/>
                <w:webHidden/>
              </w:rPr>
              <w:fldChar w:fldCharType="separate"/>
            </w:r>
            <w:r w:rsidR="00473B08">
              <w:rPr>
                <w:noProof/>
                <w:webHidden/>
              </w:rPr>
              <w:t>1</w:t>
            </w:r>
            <w:r w:rsidR="00ED0D50">
              <w:rPr>
                <w:noProof/>
                <w:webHidden/>
              </w:rPr>
              <w:fldChar w:fldCharType="end"/>
            </w:r>
          </w:hyperlink>
        </w:p>
        <w:p w14:paraId="20DA7A32" w14:textId="4C97B3BE" w:rsidR="00ED0D50" w:rsidRDefault="00075CF7">
          <w:pPr>
            <w:pStyle w:val="TOC2"/>
            <w:tabs>
              <w:tab w:val="right" w:leader="dot" w:pos="9350"/>
            </w:tabs>
            <w:rPr>
              <w:noProof/>
              <w:lang w:val="es-MX" w:eastAsia="es-MX"/>
            </w:rPr>
          </w:pPr>
          <w:hyperlink w:anchor="_Toc2243481" w:history="1">
            <w:r w:rsidR="00ED0D50" w:rsidRPr="00993667">
              <w:rPr>
                <w:rStyle w:val="Hyperlink"/>
                <w:noProof/>
              </w:rPr>
              <w:t>A1. PROJECT TITLE</w:t>
            </w:r>
            <w:r w:rsidR="00ED0D50">
              <w:rPr>
                <w:noProof/>
                <w:webHidden/>
              </w:rPr>
              <w:tab/>
            </w:r>
            <w:r w:rsidR="00ED0D50">
              <w:rPr>
                <w:noProof/>
                <w:webHidden/>
              </w:rPr>
              <w:fldChar w:fldCharType="begin"/>
            </w:r>
            <w:r w:rsidR="00ED0D50">
              <w:rPr>
                <w:noProof/>
                <w:webHidden/>
              </w:rPr>
              <w:instrText xml:space="preserve"> PAGEREF _Toc2243481 \h </w:instrText>
            </w:r>
            <w:r w:rsidR="00ED0D50">
              <w:rPr>
                <w:noProof/>
                <w:webHidden/>
              </w:rPr>
            </w:r>
            <w:r w:rsidR="00ED0D50">
              <w:rPr>
                <w:noProof/>
                <w:webHidden/>
              </w:rPr>
              <w:fldChar w:fldCharType="separate"/>
            </w:r>
            <w:r w:rsidR="00473B08">
              <w:rPr>
                <w:noProof/>
                <w:webHidden/>
              </w:rPr>
              <w:t>2</w:t>
            </w:r>
            <w:r w:rsidR="00ED0D50">
              <w:rPr>
                <w:noProof/>
                <w:webHidden/>
              </w:rPr>
              <w:fldChar w:fldCharType="end"/>
            </w:r>
          </w:hyperlink>
        </w:p>
        <w:p w14:paraId="788E86EF" w14:textId="1BF99965" w:rsidR="00ED0D50" w:rsidRDefault="00075CF7">
          <w:pPr>
            <w:pStyle w:val="TOC2"/>
            <w:tabs>
              <w:tab w:val="right" w:leader="dot" w:pos="9350"/>
            </w:tabs>
            <w:rPr>
              <w:noProof/>
              <w:lang w:val="es-MX" w:eastAsia="es-MX"/>
            </w:rPr>
          </w:pPr>
          <w:hyperlink w:anchor="_Toc2243482" w:history="1">
            <w:r w:rsidR="00ED0D50" w:rsidRPr="00993667">
              <w:rPr>
                <w:rStyle w:val="Hyperlink"/>
                <w:noProof/>
              </w:rPr>
              <w:t>A2. PROJECT TYPE</w:t>
            </w:r>
            <w:r w:rsidR="00345B33">
              <w:rPr>
                <w:rStyle w:val="Hyperlink"/>
                <w:noProof/>
              </w:rPr>
              <w:t xml:space="preserve"> AND PURPOSE/OBJECTIVE</w:t>
            </w:r>
            <w:r w:rsidR="00ED0D50">
              <w:rPr>
                <w:noProof/>
                <w:webHidden/>
              </w:rPr>
              <w:tab/>
            </w:r>
            <w:r w:rsidR="00ED0D50">
              <w:rPr>
                <w:noProof/>
                <w:webHidden/>
              </w:rPr>
              <w:fldChar w:fldCharType="begin"/>
            </w:r>
            <w:r w:rsidR="00ED0D50">
              <w:rPr>
                <w:noProof/>
                <w:webHidden/>
              </w:rPr>
              <w:instrText xml:space="preserve"> PAGEREF _Toc2243482 \h </w:instrText>
            </w:r>
            <w:r w:rsidR="00ED0D50">
              <w:rPr>
                <w:noProof/>
                <w:webHidden/>
              </w:rPr>
            </w:r>
            <w:r w:rsidR="00ED0D50">
              <w:rPr>
                <w:noProof/>
                <w:webHidden/>
              </w:rPr>
              <w:fldChar w:fldCharType="separate"/>
            </w:r>
            <w:r w:rsidR="00473B08">
              <w:rPr>
                <w:noProof/>
                <w:webHidden/>
              </w:rPr>
              <w:t>2</w:t>
            </w:r>
            <w:r w:rsidR="00ED0D50">
              <w:rPr>
                <w:noProof/>
                <w:webHidden/>
              </w:rPr>
              <w:fldChar w:fldCharType="end"/>
            </w:r>
          </w:hyperlink>
        </w:p>
        <w:p w14:paraId="0EDB7690" w14:textId="0262740B" w:rsidR="00ED0D50" w:rsidRDefault="00075CF7">
          <w:pPr>
            <w:pStyle w:val="TOC2"/>
            <w:tabs>
              <w:tab w:val="right" w:leader="dot" w:pos="9350"/>
            </w:tabs>
            <w:rPr>
              <w:noProof/>
              <w:lang w:val="es-MX" w:eastAsia="es-MX"/>
            </w:rPr>
          </w:pPr>
          <w:hyperlink w:anchor="_Toc2243483" w:history="1">
            <w:r w:rsidR="00ED0D50" w:rsidRPr="00993667">
              <w:rPr>
                <w:rStyle w:val="Hyperlink"/>
                <w:noProof/>
              </w:rPr>
              <w:t>A3. PROOF OF PROJECT ELIGIBILITY</w:t>
            </w:r>
            <w:r w:rsidR="00ED0D50">
              <w:rPr>
                <w:noProof/>
                <w:webHidden/>
              </w:rPr>
              <w:tab/>
            </w:r>
            <w:r w:rsidR="00ED0D50">
              <w:rPr>
                <w:noProof/>
                <w:webHidden/>
              </w:rPr>
              <w:fldChar w:fldCharType="begin"/>
            </w:r>
            <w:r w:rsidR="00ED0D50">
              <w:rPr>
                <w:noProof/>
                <w:webHidden/>
              </w:rPr>
              <w:instrText xml:space="preserve"> PAGEREF _Toc2243483 \h </w:instrText>
            </w:r>
            <w:r w:rsidR="00ED0D50">
              <w:rPr>
                <w:noProof/>
                <w:webHidden/>
              </w:rPr>
            </w:r>
            <w:r w:rsidR="00ED0D50">
              <w:rPr>
                <w:noProof/>
                <w:webHidden/>
              </w:rPr>
              <w:fldChar w:fldCharType="separate"/>
            </w:r>
            <w:r w:rsidR="00473B08">
              <w:rPr>
                <w:noProof/>
                <w:webHidden/>
              </w:rPr>
              <w:t>2</w:t>
            </w:r>
            <w:r w:rsidR="00ED0D50">
              <w:rPr>
                <w:noProof/>
                <w:webHidden/>
              </w:rPr>
              <w:fldChar w:fldCharType="end"/>
            </w:r>
          </w:hyperlink>
        </w:p>
        <w:p w14:paraId="14602FFB" w14:textId="19E1EC93" w:rsidR="00ED0D50" w:rsidRDefault="00075CF7">
          <w:pPr>
            <w:pStyle w:val="TOC2"/>
            <w:tabs>
              <w:tab w:val="right" w:leader="dot" w:pos="9350"/>
            </w:tabs>
            <w:rPr>
              <w:noProof/>
              <w:lang w:val="es-MX" w:eastAsia="es-MX"/>
            </w:rPr>
          </w:pPr>
          <w:hyperlink w:anchor="_Toc2243484" w:history="1">
            <w:r w:rsidR="00ED0D50" w:rsidRPr="00993667">
              <w:rPr>
                <w:rStyle w:val="Hyperlink"/>
                <w:noProof/>
              </w:rPr>
              <w:t>A4. LOCATION</w:t>
            </w:r>
            <w:r w:rsidR="00345B33">
              <w:rPr>
                <w:rStyle w:val="Hyperlink"/>
                <w:noProof/>
              </w:rPr>
              <w:t xml:space="preserve"> AND PHYSICAL CONDITIONS</w:t>
            </w:r>
            <w:r w:rsidR="00ED0D50">
              <w:rPr>
                <w:noProof/>
                <w:webHidden/>
              </w:rPr>
              <w:tab/>
            </w:r>
            <w:r w:rsidR="00ED0D50">
              <w:rPr>
                <w:noProof/>
                <w:webHidden/>
              </w:rPr>
              <w:fldChar w:fldCharType="begin"/>
            </w:r>
            <w:r w:rsidR="00ED0D50">
              <w:rPr>
                <w:noProof/>
                <w:webHidden/>
              </w:rPr>
              <w:instrText xml:space="preserve"> PAGEREF _Toc2243484 \h </w:instrText>
            </w:r>
            <w:r w:rsidR="00ED0D50">
              <w:rPr>
                <w:noProof/>
                <w:webHidden/>
              </w:rPr>
            </w:r>
            <w:r w:rsidR="00ED0D50">
              <w:rPr>
                <w:noProof/>
                <w:webHidden/>
              </w:rPr>
              <w:fldChar w:fldCharType="separate"/>
            </w:r>
            <w:r w:rsidR="00473B08">
              <w:rPr>
                <w:noProof/>
                <w:webHidden/>
              </w:rPr>
              <w:t>3</w:t>
            </w:r>
            <w:r w:rsidR="00ED0D50">
              <w:rPr>
                <w:noProof/>
                <w:webHidden/>
              </w:rPr>
              <w:fldChar w:fldCharType="end"/>
            </w:r>
          </w:hyperlink>
        </w:p>
        <w:p w14:paraId="491D7677" w14:textId="6D550529" w:rsidR="00ED0D50" w:rsidRDefault="00075CF7">
          <w:pPr>
            <w:pStyle w:val="TOC2"/>
            <w:tabs>
              <w:tab w:val="right" w:leader="dot" w:pos="9350"/>
            </w:tabs>
            <w:rPr>
              <w:noProof/>
              <w:lang w:val="es-MX" w:eastAsia="es-MX"/>
            </w:rPr>
          </w:pPr>
          <w:hyperlink w:anchor="_Toc2243485" w:history="1">
            <w:r w:rsidR="00ED0D50" w:rsidRPr="00993667">
              <w:rPr>
                <w:rStyle w:val="Hyperlink"/>
                <w:noProof/>
              </w:rPr>
              <w:t>A5. BRIEF SUMMARY OF PROJECT</w:t>
            </w:r>
            <w:r w:rsidR="00ED0D50">
              <w:rPr>
                <w:noProof/>
                <w:webHidden/>
              </w:rPr>
              <w:tab/>
            </w:r>
            <w:r w:rsidR="00ED0D50">
              <w:rPr>
                <w:noProof/>
                <w:webHidden/>
              </w:rPr>
              <w:fldChar w:fldCharType="begin"/>
            </w:r>
            <w:r w:rsidR="00ED0D50">
              <w:rPr>
                <w:noProof/>
                <w:webHidden/>
              </w:rPr>
              <w:instrText xml:space="preserve"> PAGEREF _Toc2243485 \h </w:instrText>
            </w:r>
            <w:r w:rsidR="00ED0D50">
              <w:rPr>
                <w:noProof/>
                <w:webHidden/>
              </w:rPr>
            </w:r>
            <w:r w:rsidR="00ED0D50">
              <w:rPr>
                <w:noProof/>
                <w:webHidden/>
              </w:rPr>
              <w:fldChar w:fldCharType="separate"/>
            </w:r>
            <w:r w:rsidR="00473B08">
              <w:rPr>
                <w:noProof/>
                <w:webHidden/>
              </w:rPr>
              <w:t>5</w:t>
            </w:r>
            <w:r w:rsidR="00ED0D50">
              <w:rPr>
                <w:noProof/>
                <w:webHidden/>
              </w:rPr>
              <w:fldChar w:fldCharType="end"/>
            </w:r>
          </w:hyperlink>
        </w:p>
        <w:p w14:paraId="0A569B9C" w14:textId="40096DA7" w:rsidR="00ED0D50" w:rsidRDefault="00075CF7">
          <w:pPr>
            <w:pStyle w:val="TOC2"/>
            <w:tabs>
              <w:tab w:val="right" w:leader="dot" w:pos="9350"/>
            </w:tabs>
            <w:rPr>
              <w:noProof/>
              <w:lang w:val="es-MX" w:eastAsia="es-MX"/>
            </w:rPr>
          </w:pPr>
          <w:hyperlink w:anchor="_Toc2243486" w:history="1">
            <w:r w:rsidR="00ED0D50" w:rsidRPr="00993667">
              <w:rPr>
                <w:rStyle w:val="Hyperlink"/>
                <w:noProof/>
              </w:rPr>
              <w:t>A6. PROJECT ACTION</w:t>
            </w:r>
            <w:r w:rsidR="00345B33">
              <w:rPr>
                <w:rStyle w:val="Hyperlink"/>
                <w:noProof/>
              </w:rPr>
              <w:t xml:space="preserve"> AND TECHNOLOGIES</w:t>
            </w:r>
            <w:r w:rsidR="00ED0D50">
              <w:rPr>
                <w:noProof/>
                <w:webHidden/>
              </w:rPr>
              <w:tab/>
            </w:r>
            <w:r w:rsidR="00ED0D50">
              <w:rPr>
                <w:noProof/>
                <w:webHidden/>
              </w:rPr>
              <w:fldChar w:fldCharType="begin"/>
            </w:r>
            <w:r w:rsidR="00ED0D50">
              <w:rPr>
                <w:noProof/>
                <w:webHidden/>
              </w:rPr>
              <w:instrText xml:space="preserve"> PAGEREF _Toc2243486 \h </w:instrText>
            </w:r>
            <w:r w:rsidR="00ED0D50">
              <w:rPr>
                <w:noProof/>
                <w:webHidden/>
              </w:rPr>
            </w:r>
            <w:r w:rsidR="00ED0D50">
              <w:rPr>
                <w:noProof/>
                <w:webHidden/>
              </w:rPr>
              <w:fldChar w:fldCharType="separate"/>
            </w:r>
            <w:r w:rsidR="00473B08">
              <w:rPr>
                <w:noProof/>
                <w:webHidden/>
              </w:rPr>
              <w:t>5</w:t>
            </w:r>
            <w:r w:rsidR="00ED0D50">
              <w:rPr>
                <w:noProof/>
                <w:webHidden/>
              </w:rPr>
              <w:fldChar w:fldCharType="end"/>
            </w:r>
          </w:hyperlink>
        </w:p>
        <w:p w14:paraId="379C641F" w14:textId="58430B1B" w:rsidR="00ED0D50" w:rsidRDefault="00075CF7">
          <w:pPr>
            <w:pStyle w:val="TOC2"/>
            <w:tabs>
              <w:tab w:val="right" w:leader="dot" w:pos="9350"/>
            </w:tabs>
            <w:rPr>
              <w:noProof/>
              <w:lang w:val="es-MX" w:eastAsia="es-MX"/>
            </w:rPr>
          </w:pPr>
          <w:hyperlink w:anchor="_Toc2243487" w:history="1">
            <w:r w:rsidR="00ED0D50" w:rsidRPr="00993667">
              <w:rPr>
                <w:rStyle w:val="Hyperlink"/>
                <w:noProof/>
              </w:rPr>
              <w:t xml:space="preserve">A7. </w:t>
            </w:r>
            <w:r w:rsidR="00ED0D50" w:rsidRPr="00993667">
              <w:rPr>
                <w:rStyle w:val="Hyperlink"/>
                <w:i/>
                <w:noProof/>
              </w:rPr>
              <w:t>EX ANTE</w:t>
            </w:r>
            <w:r w:rsidR="00ED0D50" w:rsidRPr="00993667">
              <w:rPr>
                <w:rStyle w:val="Hyperlink"/>
                <w:noProof/>
              </w:rPr>
              <w:t xml:space="preserve"> OFFSET PROJECTION</w:t>
            </w:r>
            <w:r w:rsidR="00ED0D50">
              <w:rPr>
                <w:noProof/>
                <w:webHidden/>
              </w:rPr>
              <w:tab/>
            </w:r>
            <w:r w:rsidR="00ED0D50">
              <w:rPr>
                <w:noProof/>
                <w:webHidden/>
              </w:rPr>
              <w:fldChar w:fldCharType="begin"/>
            </w:r>
            <w:r w:rsidR="00ED0D50">
              <w:rPr>
                <w:noProof/>
                <w:webHidden/>
              </w:rPr>
              <w:instrText xml:space="preserve"> PAGEREF _Toc2243487 \h </w:instrText>
            </w:r>
            <w:r w:rsidR="00ED0D50">
              <w:rPr>
                <w:noProof/>
                <w:webHidden/>
              </w:rPr>
            </w:r>
            <w:r w:rsidR="00ED0D50">
              <w:rPr>
                <w:noProof/>
                <w:webHidden/>
              </w:rPr>
              <w:fldChar w:fldCharType="separate"/>
            </w:r>
            <w:r w:rsidR="00473B08">
              <w:rPr>
                <w:noProof/>
                <w:webHidden/>
              </w:rPr>
              <w:t>6</w:t>
            </w:r>
            <w:r w:rsidR="00ED0D50">
              <w:rPr>
                <w:noProof/>
                <w:webHidden/>
              </w:rPr>
              <w:fldChar w:fldCharType="end"/>
            </w:r>
          </w:hyperlink>
        </w:p>
        <w:p w14:paraId="05B9D8CD" w14:textId="5B4B6E05" w:rsidR="00ED0D50" w:rsidRDefault="00075CF7">
          <w:pPr>
            <w:pStyle w:val="TOC2"/>
            <w:tabs>
              <w:tab w:val="right" w:leader="dot" w:pos="9350"/>
            </w:tabs>
            <w:rPr>
              <w:noProof/>
              <w:lang w:val="es-MX" w:eastAsia="es-MX"/>
            </w:rPr>
          </w:pPr>
          <w:hyperlink w:anchor="_Toc2243488" w:history="1">
            <w:r w:rsidR="00ED0D50" w:rsidRPr="00993667">
              <w:rPr>
                <w:rStyle w:val="Hyperlink"/>
                <w:noProof/>
              </w:rPr>
              <w:t>A8. PARTIES</w:t>
            </w:r>
            <w:r w:rsidR="00ED0D50">
              <w:rPr>
                <w:noProof/>
                <w:webHidden/>
              </w:rPr>
              <w:tab/>
            </w:r>
            <w:r w:rsidR="00ED0D50">
              <w:rPr>
                <w:noProof/>
                <w:webHidden/>
              </w:rPr>
              <w:fldChar w:fldCharType="begin"/>
            </w:r>
            <w:r w:rsidR="00ED0D50">
              <w:rPr>
                <w:noProof/>
                <w:webHidden/>
              </w:rPr>
              <w:instrText xml:space="preserve"> PAGEREF _Toc2243488 \h </w:instrText>
            </w:r>
            <w:r w:rsidR="00ED0D50">
              <w:rPr>
                <w:noProof/>
                <w:webHidden/>
              </w:rPr>
            </w:r>
            <w:r w:rsidR="00ED0D50">
              <w:rPr>
                <w:noProof/>
                <w:webHidden/>
              </w:rPr>
              <w:fldChar w:fldCharType="separate"/>
            </w:r>
            <w:r w:rsidR="00473B08">
              <w:rPr>
                <w:noProof/>
                <w:webHidden/>
              </w:rPr>
              <w:t>8</w:t>
            </w:r>
            <w:r w:rsidR="00ED0D50">
              <w:rPr>
                <w:noProof/>
                <w:webHidden/>
              </w:rPr>
              <w:fldChar w:fldCharType="end"/>
            </w:r>
          </w:hyperlink>
        </w:p>
        <w:p w14:paraId="45BED44A" w14:textId="5CA974B1" w:rsidR="00ED0D50" w:rsidRDefault="00075CF7">
          <w:pPr>
            <w:pStyle w:val="TOC1"/>
            <w:tabs>
              <w:tab w:val="right" w:leader="dot" w:pos="9350"/>
            </w:tabs>
            <w:rPr>
              <w:noProof/>
              <w:lang w:val="es-MX" w:eastAsia="es-MX"/>
            </w:rPr>
          </w:pPr>
          <w:hyperlink w:anchor="_Toc2243489" w:history="1">
            <w:r w:rsidR="00ED0D50" w:rsidRPr="00993667">
              <w:rPr>
                <w:rStyle w:val="Hyperlink"/>
                <w:noProof/>
              </w:rPr>
              <w:t>B. METHODOLOGY</w:t>
            </w:r>
            <w:r w:rsidR="00ED0D50">
              <w:rPr>
                <w:noProof/>
                <w:webHidden/>
              </w:rPr>
              <w:tab/>
            </w:r>
            <w:r w:rsidR="00ED0D50">
              <w:rPr>
                <w:noProof/>
                <w:webHidden/>
              </w:rPr>
              <w:fldChar w:fldCharType="begin"/>
            </w:r>
            <w:r w:rsidR="00ED0D50">
              <w:rPr>
                <w:noProof/>
                <w:webHidden/>
              </w:rPr>
              <w:instrText xml:space="preserve"> PAGEREF _Toc2243489 \h </w:instrText>
            </w:r>
            <w:r w:rsidR="00ED0D50">
              <w:rPr>
                <w:noProof/>
                <w:webHidden/>
              </w:rPr>
            </w:r>
            <w:r w:rsidR="00ED0D50">
              <w:rPr>
                <w:noProof/>
                <w:webHidden/>
              </w:rPr>
              <w:fldChar w:fldCharType="separate"/>
            </w:r>
            <w:r w:rsidR="00473B08">
              <w:rPr>
                <w:noProof/>
                <w:webHidden/>
              </w:rPr>
              <w:t>11</w:t>
            </w:r>
            <w:r w:rsidR="00ED0D50">
              <w:rPr>
                <w:noProof/>
                <w:webHidden/>
              </w:rPr>
              <w:fldChar w:fldCharType="end"/>
            </w:r>
          </w:hyperlink>
        </w:p>
        <w:p w14:paraId="44E2EDFA" w14:textId="5ED864B3" w:rsidR="00ED0D50" w:rsidRDefault="00075CF7">
          <w:pPr>
            <w:pStyle w:val="TOC2"/>
            <w:tabs>
              <w:tab w:val="right" w:leader="dot" w:pos="9350"/>
            </w:tabs>
            <w:rPr>
              <w:noProof/>
              <w:lang w:val="es-MX" w:eastAsia="es-MX"/>
            </w:rPr>
          </w:pPr>
          <w:hyperlink w:anchor="_Toc2243490" w:history="1">
            <w:r w:rsidR="00ED0D50" w:rsidRPr="00993667">
              <w:rPr>
                <w:rStyle w:val="Hyperlink"/>
                <w:noProof/>
              </w:rPr>
              <w:t>B1. APPROVED METHODOLOGY</w:t>
            </w:r>
            <w:r w:rsidR="00ED0D50">
              <w:rPr>
                <w:noProof/>
                <w:webHidden/>
              </w:rPr>
              <w:tab/>
            </w:r>
            <w:r w:rsidR="00ED0D50">
              <w:rPr>
                <w:noProof/>
                <w:webHidden/>
              </w:rPr>
              <w:fldChar w:fldCharType="begin"/>
            </w:r>
            <w:r w:rsidR="00ED0D50">
              <w:rPr>
                <w:noProof/>
                <w:webHidden/>
              </w:rPr>
              <w:instrText xml:space="preserve"> PAGEREF _Toc2243490 \h </w:instrText>
            </w:r>
            <w:r w:rsidR="00ED0D50">
              <w:rPr>
                <w:noProof/>
                <w:webHidden/>
              </w:rPr>
            </w:r>
            <w:r w:rsidR="00ED0D50">
              <w:rPr>
                <w:noProof/>
                <w:webHidden/>
              </w:rPr>
              <w:fldChar w:fldCharType="separate"/>
            </w:r>
            <w:r w:rsidR="00473B08">
              <w:rPr>
                <w:noProof/>
                <w:webHidden/>
              </w:rPr>
              <w:t>12</w:t>
            </w:r>
            <w:r w:rsidR="00ED0D50">
              <w:rPr>
                <w:noProof/>
                <w:webHidden/>
              </w:rPr>
              <w:fldChar w:fldCharType="end"/>
            </w:r>
          </w:hyperlink>
        </w:p>
        <w:p w14:paraId="50D07A84" w14:textId="6B2B0D62" w:rsidR="00ED0D50" w:rsidRDefault="00075CF7">
          <w:pPr>
            <w:pStyle w:val="TOC2"/>
            <w:tabs>
              <w:tab w:val="right" w:leader="dot" w:pos="9350"/>
            </w:tabs>
            <w:rPr>
              <w:noProof/>
              <w:lang w:val="es-MX" w:eastAsia="es-MX"/>
            </w:rPr>
          </w:pPr>
          <w:hyperlink w:anchor="_Toc2243491" w:history="1">
            <w:r w:rsidR="00ED0D50" w:rsidRPr="00993667">
              <w:rPr>
                <w:rStyle w:val="Hyperlink"/>
                <w:noProof/>
              </w:rPr>
              <w:t>B2. METHODOLOGY JUSTIFICATION</w:t>
            </w:r>
            <w:r w:rsidR="00ED0D50">
              <w:rPr>
                <w:noProof/>
                <w:webHidden/>
              </w:rPr>
              <w:tab/>
            </w:r>
            <w:r w:rsidR="00ED0D50">
              <w:rPr>
                <w:noProof/>
                <w:webHidden/>
              </w:rPr>
              <w:fldChar w:fldCharType="begin"/>
            </w:r>
            <w:r w:rsidR="00ED0D50">
              <w:rPr>
                <w:noProof/>
                <w:webHidden/>
              </w:rPr>
              <w:instrText xml:space="preserve"> PAGEREF _Toc2243491 \h </w:instrText>
            </w:r>
            <w:r w:rsidR="00ED0D50">
              <w:rPr>
                <w:noProof/>
                <w:webHidden/>
              </w:rPr>
            </w:r>
            <w:r w:rsidR="00ED0D50">
              <w:rPr>
                <w:noProof/>
                <w:webHidden/>
              </w:rPr>
              <w:fldChar w:fldCharType="separate"/>
            </w:r>
            <w:r w:rsidR="00473B08">
              <w:rPr>
                <w:noProof/>
                <w:webHidden/>
              </w:rPr>
              <w:t>12</w:t>
            </w:r>
            <w:r w:rsidR="00ED0D50">
              <w:rPr>
                <w:noProof/>
                <w:webHidden/>
              </w:rPr>
              <w:fldChar w:fldCharType="end"/>
            </w:r>
          </w:hyperlink>
        </w:p>
        <w:p w14:paraId="68F90CF7" w14:textId="067E8485" w:rsidR="00ED0D50" w:rsidRDefault="00075CF7">
          <w:pPr>
            <w:pStyle w:val="TOC2"/>
            <w:tabs>
              <w:tab w:val="right" w:leader="dot" w:pos="9350"/>
            </w:tabs>
            <w:rPr>
              <w:noProof/>
              <w:lang w:val="es-MX" w:eastAsia="es-MX"/>
            </w:rPr>
          </w:pPr>
          <w:hyperlink w:anchor="_Toc2243492" w:history="1">
            <w:r w:rsidR="00ED0D50" w:rsidRPr="00993667">
              <w:rPr>
                <w:rStyle w:val="Hyperlink"/>
                <w:noProof/>
              </w:rPr>
              <w:t>B3. PROJECT BOUNDARIES</w:t>
            </w:r>
            <w:r w:rsidR="00ED0D50">
              <w:rPr>
                <w:noProof/>
                <w:webHidden/>
              </w:rPr>
              <w:tab/>
            </w:r>
            <w:r w:rsidR="00ED0D50">
              <w:rPr>
                <w:noProof/>
                <w:webHidden/>
              </w:rPr>
              <w:fldChar w:fldCharType="begin"/>
            </w:r>
            <w:r w:rsidR="00ED0D50">
              <w:rPr>
                <w:noProof/>
                <w:webHidden/>
              </w:rPr>
              <w:instrText xml:space="preserve"> PAGEREF _Toc2243492 \h </w:instrText>
            </w:r>
            <w:r w:rsidR="00ED0D50">
              <w:rPr>
                <w:noProof/>
                <w:webHidden/>
              </w:rPr>
            </w:r>
            <w:r w:rsidR="00ED0D50">
              <w:rPr>
                <w:noProof/>
                <w:webHidden/>
              </w:rPr>
              <w:fldChar w:fldCharType="separate"/>
            </w:r>
            <w:r w:rsidR="00473B08">
              <w:rPr>
                <w:noProof/>
                <w:webHidden/>
              </w:rPr>
              <w:t>14</w:t>
            </w:r>
            <w:r w:rsidR="00ED0D50">
              <w:rPr>
                <w:noProof/>
                <w:webHidden/>
              </w:rPr>
              <w:fldChar w:fldCharType="end"/>
            </w:r>
          </w:hyperlink>
        </w:p>
        <w:p w14:paraId="357358F7" w14:textId="23395AE6" w:rsidR="00ED0D50" w:rsidRDefault="00075CF7">
          <w:pPr>
            <w:pStyle w:val="TOC2"/>
            <w:tabs>
              <w:tab w:val="right" w:leader="dot" w:pos="9350"/>
            </w:tabs>
            <w:rPr>
              <w:noProof/>
              <w:lang w:val="es-MX" w:eastAsia="es-MX"/>
            </w:rPr>
          </w:pPr>
          <w:hyperlink w:anchor="_Toc2243493" w:history="1">
            <w:r w:rsidR="00ED0D50" w:rsidRPr="00993667">
              <w:rPr>
                <w:rStyle w:val="Hyperlink"/>
                <w:noProof/>
              </w:rPr>
              <w:t>B4. IDENTIFICATION OF GHG SOURCES AND SINKS</w:t>
            </w:r>
            <w:r w:rsidR="00ED0D50">
              <w:rPr>
                <w:noProof/>
                <w:webHidden/>
              </w:rPr>
              <w:tab/>
            </w:r>
            <w:r w:rsidR="00ED0D50">
              <w:rPr>
                <w:noProof/>
                <w:webHidden/>
              </w:rPr>
              <w:fldChar w:fldCharType="begin"/>
            </w:r>
            <w:r w:rsidR="00ED0D50">
              <w:rPr>
                <w:noProof/>
                <w:webHidden/>
              </w:rPr>
              <w:instrText xml:space="preserve"> PAGEREF _Toc2243493 \h </w:instrText>
            </w:r>
            <w:r w:rsidR="00ED0D50">
              <w:rPr>
                <w:noProof/>
                <w:webHidden/>
              </w:rPr>
            </w:r>
            <w:r w:rsidR="00ED0D50">
              <w:rPr>
                <w:noProof/>
                <w:webHidden/>
              </w:rPr>
              <w:fldChar w:fldCharType="separate"/>
            </w:r>
            <w:r w:rsidR="00473B08">
              <w:rPr>
                <w:noProof/>
                <w:webHidden/>
              </w:rPr>
              <w:t>15</w:t>
            </w:r>
            <w:r w:rsidR="00ED0D50">
              <w:rPr>
                <w:noProof/>
                <w:webHidden/>
              </w:rPr>
              <w:fldChar w:fldCharType="end"/>
            </w:r>
          </w:hyperlink>
        </w:p>
        <w:p w14:paraId="2528D186" w14:textId="1E691055" w:rsidR="00ED0D50" w:rsidRDefault="00075CF7">
          <w:pPr>
            <w:pStyle w:val="TOC2"/>
            <w:tabs>
              <w:tab w:val="right" w:leader="dot" w:pos="9350"/>
            </w:tabs>
            <w:rPr>
              <w:noProof/>
              <w:lang w:val="es-MX" w:eastAsia="es-MX"/>
            </w:rPr>
          </w:pPr>
          <w:hyperlink w:anchor="_Toc2243494" w:history="1">
            <w:r w:rsidR="00ED0D50" w:rsidRPr="00993667">
              <w:rPr>
                <w:rStyle w:val="Hyperlink"/>
                <w:noProof/>
              </w:rPr>
              <w:t>B5. BASELINE</w:t>
            </w:r>
            <w:r w:rsidR="00ED0D50">
              <w:rPr>
                <w:noProof/>
                <w:webHidden/>
              </w:rPr>
              <w:tab/>
            </w:r>
            <w:r w:rsidR="00ED0D50">
              <w:rPr>
                <w:noProof/>
                <w:webHidden/>
              </w:rPr>
              <w:fldChar w:fldCharType="begin"/>
            </w:r>
            <w:r w:rsidR="00ED0D50">
              <w:rPr>
                <w:noProof/>
                <w:webHidden/>
              </w:rPr>
              <w:instrText xml:space="preserve"> PAGEREF _Toc2243494 \h </w:instrText>
            </w:r>
            <w:r w:rsidR="00ED0D50">
              <w:rPr>
                <w:noProof/>
                <w:webHidden/>
              </w:rPr>
            </w:r>
            <w:r w:rsidR="00ED0D50">
              <w:rPr>
                <w:noProof/>
                <w:webHidden/>
              </w:rPr>
              <w:fldChar w:fldCharType="separate"/>
            </w:r>
            <w:r w:rsidR="00473B08">
              <w:rPr>
                <w:noProof/>
                <w:webHidden/>
              </w:rPr>
              <w:t>16</w:t>
            </w:r>
            <w:r w:rsidR="00ED0D50">
              <w:rPr>
                <w:noProof/>
                <w:webHidden/>
              </w:rPr>
              <w:fldChar w:fldCharType="end"/>
            </w:r>
          </w:hyperlink>
        </w:p>
        <w:p w14:paraId="29FADAB2" w14:textId="4C225710" w:rsidR="00ED0D50" w:rsidRDefault="00075CF7">
          <w:pPr>
            <w:pStyle w:val="TOC2"/>
            <w:tabs>
              <w:tab w:val="right" w:leader="dot" w:pos="9350"/>
            </w:tabs>
            <w:rPr>
              <w:noProof/>
              <w:lang w:val="es-MX" w:eastAsia="es-MX"/>
            </w:rPr>
          </w:pPr>
          <w:hyperlink w:anchor="_Toc2243495" w:history="1">
            <w:r w:rsidR="00ED0D50" w:rsidRPr="00993667">
              <w:rPr>
                <w:rStyle w:val="Hyperlink"/>
                <w:noProof/>
              </w:rPr>
              <w:t>B6. PROJECT SCENARIO</w:t>
            </w:r>
            <w:r w:rsidR="00ED0D50">
              <w:rPr>
                <w:noProof/>
                <w:webHidden/>
              </w:rPr>
              <w:tab/>
            </w:r>
            <w:r w:rsidR="00ED0D50">
              <w:rPr>
                <w:noProof/>
                <w:webHidden/>
              </w:rPr>
              <w:fldChar w:fldCharType="begin"/>
            </w:r>
            <w:r w:rsidR="00ED0D50">
              <w:rPr>
                <w:noProof/>
                <w:webHidden/>
              </w:rPr>
              <w:instrText xml:space="preserve"> PAGEREF _Toc2243495 \h </w:instrText>
            </w:r>
            <w:r w:rsidR="00ED0D50">
              <w:rPr>
                <w:noProof/>
                <w:webHidden/>
              </w:rPr>
            </w:r>
            <w:r w:rsidR="00ED0D50">
              <w:rPr>
                <w:noProof/>
                <w:webHidden/>
              </w:rPr>
              <w:fldChar w:fldCharType="separate"/>
            </w:r>
            <w:r w:rsidR="00473B08">
              <w:rPr>
                <w:noProof/>
                <w:webHidden/>
              </w:rPr>
              <w:t>16</w:t>
            </w:r>
            <w:r w:rsidR="00ED0D50">
              <w:rPr>
                <w:noProof/>
                <w:webHidden/>
              </w:rPr>
              <w:fldChar w:fldCharType="end"/>
            </w:r>
          </w:hyperlink>
        </w:p>
        <w:p w14:paraId="17A4B06A" w14:textId="7B3E029F" w:rsidR="00ED0D50" w:rsidRDefault="00075CF7">
          <w:pPr>
            <w:pStyle w:val="TOC2"/>
            <w:tabs>
              <w:tab w:val="right" w:leader="dot" w:pos="9350"/>
            </w:tabs>
            <w:rPr>
              <w:noProof/>
              <w:lang w:val="es-MX" w:eastAsia="es-MX"/>
            </w:rPr>
          </w:pPr>
          <w:hyperlink w:anchor="_Toc2243496" w:history="1">
            <w:r w:rsidR="00ED0D50" w:rsidRPr="00993667">
              <w:rPr>
                <w:rStyle w:val="Hyperlink"/>
                <w:noProof/>
              </w:rPr>
              <w:t>B7. REDUCTIONS AND ENHANCED REMOVALS</w:t>
            </w:r>
            <w:r w:rsidR="00ED0D50">
              <w:rPr>
                <w:noProof/>
                <w:webHidden/>
              </w:rPr>
              <w:tab/>
            </w:r>
            <w:r w:rsidR="00ED0D50">
              <w:rPr>
                <w:noProof/>
                <w:webHidden/>
              </w:rPr>
              <w:fldChar w:fldCharType="begin"/>
            </w:r>
            <w:r w:rsidR="00ED0D50">
              <w:rPr>
                <w:noProof/>
                <w:webHidden/>
              </w:rPr>
              <w:instrText xml:space="preserve"> PAGEREF _Toc2243496 \h </w:instrText>
            </w:r>
            <w:r w:rsidR="00ED0D50">
              <w:rPr>
                <w:noProof/>
                <w:webHidden/>
              </w:rPr>
            </w:r>
            <w:r w:rsidR="00ED0D50">
              <w:rPr>
                <w:noProof/>
                <w:webHidden/>
              </w:rPr>
              <w:fldChar w:fldCharType="separate"/>
            </w:r>
            <w:r w:rsidR="00473B08">
              <w:rPr>
                <w:noProof/>
                <w:webHidden/>
              </w:rPr>
              <w:t>16</w:t>
            </w:r>
            <w:r w:rsidR="00ED0D50">
              <w:rPr>
                <w:noProof/>
                <w:webHidden/>
              </w:rPr>
              <w:fldChar w:fldCharType="end"/>
            </w:r>
          </w:hyperlink>
        </w:p>
        <w:p w14:paraId="24108C81" w14:textId="53E0EDE4" w:rsidR="00ED0D50" w:rsidRDefault="00075CF7">
          <w:pPr>
            <w:pStyle w:val="TOC2"/>
            <w:tabs>
              <w:tab w:val="right" w:leader="dot" w:pos="9350"/>
            </w:tabs>
            <w:rPr>
              <w:noProof/>
              <w:lang w:val="es-MX" w:eastAsia="es-MX"/>
            </w:rPr>
          </w:pPr>
          <w:hyperlink w:anchor="_Toc2243497" w:history="1">
            <w:r w:rsidR="00ED0D50" w:rsidRPr="00993667">
              <w:rPr>
                <w:rStyle w:val="Hyperlink"/>
                <w:noProof/>
              </w:rPr>
              <w:t>B8. PERMANENCE</w:t>
            </w:r>
            <w:r w:rsidR="00ED0D50">
              <w:rPr>
                <w:noProof/>
                <w:webHidden/>
              </w:rPr>
              <w:tab/>
            </w:r>
            <w:r w:rsidR="00ED0D50">
              <w:rPr>
                <w:noProof/>
                <w:webHidden/>
              </w:rPr>
              <w:fldChar w:fldCharType="begin"/>
            </w:r>
            <w:r w:rsidR="00ED0D50">
              <w:rPr>
                <w:noProof/>
                <w:webHidden/>
              </w:rPr>
              <w:instrText xml:space="preserve"> PAGEREF _Toc2243497 \h </w:instrText>
            </w:r>
            <w:r w:rsidR="00ED0D50">
              <w:rPr>
                <w:noProof/>
                <w:webHidden/>
              </w:rPr>
            </w:r>
            <w:r w:rsidR="00ED0D50">
              <w:rPr>
                <w:noProof/>
                <w:webHidden/>
              </w:rPr>
              <w:fldChar w:fldCharType="separate"/>
            </w:r>
            <w:r w:rsidR="00473B08">
              <w:rPr>
                <w:noProof/>
                <w:webHidden/>
              </w:rPr>
              <w:t>17</w:t>
            </w:r>
            <w:r w:rsidR="00ED0D50">
              <w:rPr>
                <w:noProof/>
                <w:webHidden/>
              </w:rPr>
              <w:fldChar w:fldCharType="end"/>
            </w:r>
          </w:hyperlink>
        </w:p>
        <w:p w14:paraId="29EAFAF8" w14:textId="1155D16C" w:rsidR="00ED0D50" w:rsidRDefault="00075CF7">
          <w:pPr>
            <w:pStyle w:val="TOC1"/>
            <w:tabs>
              <w:tab w:val="right" w:leader="dot" w:pos="9350"/>
            </w:tabs>
            <w:rPr>
              <w:noProof/>
              <w:lang w:val="es-MX" w:eastAsia="es-MX"/>
            </w:rPr>
          </w:pPr>
          <w:hyperlink w:anchor="_Toc2243498" w:history="1">
            <w:r w:rsidR="00ED0D50" w:rsidRPr="00993667">
              <w:rPr>
                <w:rStyle w:val="Hyperlink"/>
                <w:noProof/>
              </w:rPr>
              <w:t>C. ADDITIONALITY</w:t>
            </w:r>
            <w:r w:rsidR="00ED0D50">
              <w:rPr>
                <w:noProof/>
                <w:webHidden/>
              </w:rPr>
              <w:tab/>
            </w:r>
            <w:r w:rsidR="00ED0D50">
              <w:rPr>
                <w:noProof/>
                <w:webHidden/>
              </w:rPr>
              <w:fldChar w:fldCharType="begin"/>
            </w:r>
            <w:r w:rsidR="00ED0D50">
              <w:rPr>
                <w:noProof/>
                <w:webHidden/>
              </w:rPr>
              <w:instrText xml:space="preserve"> PAGEREF _Toc2243498 \h </w:instrText>
            </w:r>
            <w:r w:rsidR="00ED0D50">
              <w:rPr>
                <w:noProof/>
                <w:webHidden/>
              </w:rPr>
            </w:r>
            <w:r w:rsidR="00ED0D50">
              <w:rPr>
                <w:noProof/>
                <w:webHidden/>
              </w:rPr>
              <w:fldChar w:fldCharType="separate"/>
            </w:r>
            <w:r w:rsidR="00473B08">
              <w:rPr>
                <w:noProof/>
                <w:webHidden/>
              </w:rPr>
              <w:t>19</w:t>
            </w:r>
            <w:r w:rsidR="00ED0D50">
              <w:rPr>
                <w:noProof/>
                <w:webHidden/>
              </w:rPr>
              <w:fldChar w:fldCharType="end"/>
            </w:r>
          </w:hyperlink>
        </w:p>
        <w:p w14:paraId="36AAC839" w14:textId="4F8EE602" w:rsidR="00ED0D50" w:rsidRDefault="00075CF7">
          <w:pPr>
            <w:pStyle w:val="TOC2"/>
            <w:tabs>
              <w:tab w:val="right" w:leader="dot" w:pos="9350"/>
            </w:tabs>
            <w:rPr>
              <w:noProof/>
              <w:lang w:val="es-MX" w:eastAsia="es-MX"/>
            </w:rPr>
          </w:pPr>
          <w:hyperlink w:anchor="_Toc2243499" w:history="1">
            <w:r w:rsidR="00ED0D50" w:rsidRPr="00993667">
              <w:rPr>
                <w:rStyle w:val="Hyperlink"/>
                <w:noProof/>
              </w:rPr>
              <w:t>C1. REGULATORY SURPLUS TEST</w:t>
            </w:r>
            <w:r w:rsidR="00ED0D50">
              <w:rPr>
                <w:noProof/>
                <w:webHidden/>
              </w:rPr>
              <w:tab/>
            </w:r>
            <w:r w:rsidR="00ED0D50">
              <w:rPr>
                <w:noProof/>
                <w:webHidden/>
              </w:rPr>
              <w:fldChar w:fldCharType="begin"/>
            </w:r>
            <w:r w:rsidR="00ED0D50">
              <w:rPr>
                <w:noProof/>
                <w:webHidden/>
              </w:rPr>
              <w:instrText xml:space="preserve"> PAGEREF _Toc2243499 \h </w:instrText>
            </w:r>
            <w:r w:rsidR="00ED0D50">
              <w:rPr>
                <w:noProof/>
                <w:webHidden/>
              </w:rPr>
            </w:r>
            <w:r w:rsidR="00ED0D50">
              <w:rPr>
                <w:noProof/>
                <w:webHidden/>
              </w:rPr>
              <w:fldChar w:fldCharType="separate"/>
            </w:r>
            <w:r w:rsidR="00473B08">
              <w:rPr>
                <w:noProof/>
                <w:webHidden/>
              </w:rPr>
              <w:t>20</w:t>
            </w:r>
            <w:r w:rsidR="00ED0D50">
              <w:rPr>
                <w:noProof/>
                <w:webHidden/>
              </w:rPr>
              <w:fldChar w:fldCharType="end"/>
            </w:r>
          </w:hyperlink>
        </w:p>
        <w:p w14:paraId="50CFFB29" w14:textId="7648BCD7" w:rsidR="00ED0D50" w:rsidRDefault="00075CF7">
          <w:pPr>
            <w:pStyle w:val="TOC2"/>
            <w:tabs>
              <w:tab w:val="right" w:leader="dot" w:pos="9350"/>
            </w:tabs>
            <w:rPr>
              <w:noProof/>
              <w:lang w:val="es-MX" w:eastAsia="es-MX"/>
            </w:rPr>
          </w:pPr>
          <w:hyperlink w:anchor="_Toc2243500" w:history="1">
            <w:r w:rsidR="00ED0D50" w:rsidRPr="00993667">
              <w:rPr>
                <w:rStyle w:val="Hyperlink"/>
                <w:noProof/>
              </w:rPr>
              <w:t>C2. COMMON PRACTICE TEST</w:t>
            </w:r>
            <w:r w:rsidR="00ED0D50">
              <w:rPr>
                <w:noProof/>
                <w:webHidden/>
              </w:rPr>
              <w:tab/>
            </w:r>
            <w:r w:rsidR="00ED0D50">
              <w:rPr>
                <w:noProof/>
                <w:webHidden/>
              </w:rPr>
              <w:fldChar w:fldCharType="begin"/>
            </w:r>
            <w:r w:rsidR="00ED0D50">
              <w:rPr>
                <w:noProof/>
                <w:webHidden/>
              </w:rPr>
              <w:instrText xml:space="preserve"> PAGEREF _Toc2243500 \h </w:instrText>
            </w:r>
            <w:r w:rsidR="00ED0D50">
              <w:rPr>
                <w:noProof/>
                <w:webHidden/>
              </w:rPr>
            </w:r>
            <w:r w:rsidR="00ED0D50">
              <w:rPr>
                <w:noProof/>
                <w:webHidden/>
              </w:rPr>
              <w:fldChar w:fldCharType="separate"/>
            </w:r>
            <w:r w:rsidR="00473B08">
              <w:rPr>
                <w:noProof/>
                <w:webHidden/>
              </w:rPr>
              <w:t>20</w:t>
            </w:r>
            <w:r w:rsidR="00ED0D50">
              <w:rPr>
                <w:noProof/>
                <w:webHidden/>
              </w:rPr>
              <w:fldChar w:fldCharType="end"/>
            </w:r>
          </w:hyperlink>
        </w:p>
        <w:p w14:paraId="55E34689" w14:textId="7497883A" w:rsidR="00ED0D50" w:rsidRDefault="00075CF7">
          <w:pPr>
            <w:pStyle w:val="TOC2"/>
            <w:tabs>
              <w:tab w:val="right" w:leader="dot" w:pos="9350"/>
            </w:tabs>
            <w:rPr>
              <w:noProof/>
              <w:lang w:val="es-MX" w:eastAsia="es-MX"/>
            </w:rPr>
          </w:pPr>
          <w:hyperlink w:anchor="_Toc2243501" w:history="1">
            <w:r w:rsidR="00ED0D50" w:rsidRPr="00993667">
              <w:rPr>
                <w:rStyle w:val="Hyperlink"/>
                <w:noProof/>
              </w:rPr>
              <w:t>C3. IMPLEMENTATION BARRIERS TEST</w:t>
            </w:r>
            <w:r w:rsidR="00ED0D50">
              <w:rPr>
                <w:noProof/>
                <w:webHidden/>
              </w:rPr>
              <w:tab/>
            </w:r>
            <w:r w:rsidR="00ED0D50">
              <w:rPr>
                <w:noProof/>
                <w:webHidden/>
              </w:rPr>
              <w:fldChar w:fldCharType="begin"/>
            </w:r>
            <w:r w:rsidR="00ED0D50">
              <w:rPr>
                <w:noProof/>
                <w:webHidden/>
              </w:rPr>
              <w:instrText xml:space="preserve"> PAGEREF _Toc2243501 \h </w:instrText>
            </w:r>
            <w:r w:rsidR="00ED0D50">
              <w:rPr>
                <w:noProof/>
                <w:webHidden/>
              </w:rPr>
            </w:r>
            <w:r w:rsidR="00ED0D50">
              <w:rPr>
                <w:noProof/>
                <w:webHidden/>
              </w:rPr>
              <w:fldChar w:fldCharType="separate"/>
            </w:r>
            <w:r w:rsidR="00473B08">
              <w:rPr>
                <w:noProof/>
                <w:webHidden/>
              </w:rPr>
              <w:t>22</w:t>
            </w:r>
            <w:r w:rsidR="00ED0D50">
              <w:rPr>
                <w:noProof/>
                <w:webHidden/>
              </w:rPr>
              <w:fldChar w:fldCharType="end"/>
            </w:r>
          </w:hyperlink>
        </w:p>
        <w:p w14:paraId="0B15CC2A" w14:textId="7817EE18" w:rsidR="00ED0D50" w:rsidRDefault="00075CF7">
          <w:pPr>
            <w:pStyle w:val="TOC2"/>
            <w:tabs>
              <w:tab w:val="right" w:leader="dot" w:pos="9350"/>
            </w:tabs>
            <w:rPr>
              <w:noProof/>
              <w:lang w:val="es-MX" w:eastAsia="es-MX"/>
            </w:rPr>
          </w:pPr>
          <w:hyperlink w:anchor="_Toc2243502" w:history="1">
            <w:r w:rsidR="00ED0D50" w:rsidRPr="00993667">
              <w:rPr>
                <w:rStyle w:val="Hyperlink"/>
                <w:noProof/>
              </w:rPr>
              <w:t>C4. PERFORMANCE STANDARD TEST</w:t>
            </w:r>
            <w:r w:rsidR="00ED0D50">
              <w:rPr>
                <w:noProof/>
                <w:webHidden/>
              </w:rPr>
              <w:tab/>
            </w:r>
            <w:r w:rsidR="00ED0D50">
              <w:rPr>
                <w:noProof/>
                <w:webHidden/>
              </w:rPr>
              <w:fldChar w:fldCharType="begin"/>
            </w:r>
            <w:r w:rsidR="00ED0D50">
              <w:rPr>
                <w:noProof/>
                <w:webHidden/>
              </w:rPr>
              <w:instrText xml:space="preserve"> PAGEREF _Toc2243502 \h </w:instrText>
            </w:r>
            <w:r w:rsidR="00ED0D50">
              <w:rPr>
                <w:noProof/>
                <w:webHidden/>
              </w:rPr>
            </w:r>
            <w:r w:rsidR="00ED0D50">
              <w:rPr>
                <w:noProof/>
                <w:webHidden/>
              </w:rPr>
              <w:fldChar w:fldCharType="separate"/>
            </w:r>
            <w:r w:rsidR="00473B08">
              <w:rPr>
                <w:noProof/>
                <w:webHidden/>
              </w:rPr>
              <w:t>22</w:t>
            </w:r>
            <w:r w:rsidR="00ED0D50">
              <w:rPr>
                <w:noProof/>
                <w:webHidden/>
              </w:rPr>
              <w:fldChar w:fldCharType="end"/>
            </w:r>
          </w:hyperlink>
        </w:p>
        <w:p w14:paraId="5E462B4B" w14:textId="23C9FB46" w:rsidR="00ED0D50" w:rsidRDefault="00075CF7">
          <w:pPr>
            <w:pStyle w:val="TOC1"/>
            <w:tabs>
              <w:tab w:val="right" w:leader="dot" w:pos="9350"/>
            </w:tabs>
            <w:rPr>
              <w:noProof/>
              <w:lang w:val="es-MX" w:eastAsia="es-MX"/>
            </w:rPr>
          </w:pPr>
          <w:hyperlink w:anchor="_Toc2243503" w:history="1">
            <w:r w:rsidR="00ED0D50" w:rsidRPr="00993667">
              <w:rPr>
                <w:rStyle w:val="Hyperlink"/>
                <w:noProof/>
              </w:rPr>
              <w:t>D. MONITORING PLAN</w:t>
            </w:r>
            <w:r w:rsidR="00ED0D50">
              <w:rPr>
                <w:noProof/>
                <w:webHidden/>
              </w:rPr>
              <w:tab/>
            </w:r>
            <w:r w:rsidR="00ED0D50">
              <w:rPr>
                <w:noProof/>
                <w:webHidden/>
              </w:rPr>
              <w:fldChar w:fldCharType="begin"/>
            </w:r>
            <w:r w:rsidR="00ED0D50">
              <w:rPr>
                <w:noProof/>
                <w:webHidden/>
              </w:rPr>
              <w:instrText xml:space="preserve"> PAGEREF _Toc2243503 \h </w:instrText>
            </w:r>
            <w:r w:rsidR="00ED0D50">
              <w:rPr>
                <w:noProof/>
                <w:webHidden/>
              </w:rPr>
            </w:r>
            <w:r w:rsidR="00ED0D50">
              <w:rPr>
                <w:noProof/>
                <w:webHidden/>
              </w:rPr>
              <w:fldChar w:fldCharType="separate"/>
            </w:r>
            <w:r w:rsidR="00473B08">
              <w:rPr>
                <w:noProof/>
                <w:webHidden/>
              </w:rPr>
              <w:t>23</w:t>
            </w:r>
            <w:r w:rsidR="00ED0D50">
              <w:rPr>
                <w:noProof/>
                <w:webHidden/>
              </w:rPr>
              <w:fldChar w:fldCharType="end"/>
            </w:r>
          </w:hyperlink>
        </w:p>
        <w:p w14:paraId="44F7B363" w14:textId="5860C997" w:rsidR="00ED0D50" w:rsidRDefault="00075CF7">
          <w:pPr>
            <w:pStyle w:val="TOC2"/>
            <w:tabs>
              <w:tab w:val="right" w:leader="dot" w:pos="9350"/>
            </w:tabs>
            <w:rPr>
              <w:noProof/>
              <w:lang w:val="es-MX" w:eastAsia="es-MX"/>
            </w:rPr>
          </w:pPr>
          <w:hyperlink w:anchor="_Toc2243504" w:history="1">
            <w:r w:rsidR="00ED0D50" w:rsidRPr="00993667">
              <w:rPr>
                <w:rStyle w:val="Hyperlink"/>
                <w:noProof/>
              </w:rPr>
              <w:t>D1. MONITORED DATA AND PARAMETERS</w:t>
            </w:r>
            <w:r w:rsidR="00ED0D50">
              <w:rPr>
                <w:noProof/>
                <w:webHidden/>
              </w:rPr>
              <w:tab/>
            </w:r>
            <w:r w:rsidR="00ED0D50">
              <w:rPr>
                <w:noProof/>
                <w:webHidden/>
              </w:rPr>
              <w:fldChar w:fldCharType="begin"/>
            </w:r>
            <w:r w:rsidR="00ED0D50">
              <w:rPr>
                <w:noProof/>
                <w:webHidden/>
              </w:rPr>
              <w:instrText xml:space="preserve"> PAGEREF _Toc2243504 \h </w:instrText>
            </w:r>
            <w:r w:rsidR="00ED0D50">
              <w:rPr>
                <w:noProof/>
                <w:webHidden/>
              </w:rPr>
            </w:r>
            <w:r w:rsidR="00ED0D50">
              <w:rPr>
                <w:noProof/>
                <w:webHidden/>
              </w:rPr>
              <w:fldChar w:fldCharType="separate"/>
            </w:r>
            <w:r w:rsidR="00473B08">
              <w:rPr>
                <w:noProof/>
                <w:webHidden/>
              </w:rPr>
              <w:t>24</w:t>
            </w:r>
            <w:r w:rsidR="00ED0D50">
              <w:rPr>
                <w:noProof/>
                <w:webHidden/>
              </w:rPr>
              <w:fldChar w:fldCharType="end"/>
            </w:r>
          </w:hyperlink>
        </w:p>
        <w:p w14:paraId="6DA9C051" w14:textId="42B12A69" w:rsidR="00ED0D50" w:rsidRDefault="00075CF7">
          <w:pPr>
            <w:pStyle w:val="TOC1"/>
            <w:tabs>
              <w:tab w:val="right" w:leader="dot" w:pos="9350"/>
            </w:tabs>
            <w:rPr>
              <w:noProof/>
              <w:lang w:val="es-MX" w:eastAsia="es-MX"/>
            </w:rPr>
          </w:pPr>
          <w:hyperlink w:anchor="_Toc2243505" w:history="1">
            <w:r w:rsidR="00ED0D50" w:rsidRPr="00993667">
              <w:rPr>
                <w:rStyle w:val="Hyperlink"/>
                <w:noProof/>
              </w:rPr>
              <w:t>E. QUANTIFICATION</w:t>
            </w:r>
            <w:r w:rsidR="00ED0D50">
              <w:rPr>
                <w:noProof/>
                <w:webHidden/>
              </w:rPr>
              <w:tab/>
            </w:r>
            <w:r w:rsidR="00ED0D50">
              <w:rPr>
                <w:noProof/>
                <w:webHidden/>
              </w:rPr>
              <w:fldChar w:fldCharType="begin"/>
            </w:r>
            <w:r w:rsidR="00ED0D50">
              <w:rPr>
                <w:noProof/>
                <w:webHidden/>
              </w:rPr>
              <w:instrText xml:space="preserve"> PAGEREF _Toc2243505 \h </w:instrText>
            </w:r>
            <w:r w:rsidR="00ED0D50">
              <w:rPr>
                <w:noProof/>
                <w:webHidden/>
              </w:rPr>
            </w:r>
            <w:r w:rsidR="00ED0D50">
              <w:rPr>
                <w:noProof/>
                <w:webHidden/>
              </w:rPr>
              <w:fldChar w:fldCharType="separate"/>
            </w:r>
            <w:r w:rsidR="00473B08">
              <w:rPr>
                <w:noProof/>
                <w:webHidden/>
              </w:rPr>
              <w:t>29</w:t>
            </w:r>
            <w:r w:rsidR="00ED0D50">
              <w:rPr>
                <w:noProof/>
                <w:webHidden/>
              </w:rPr>
              <w:fldChar w:fldCharType="end"/>
            </w:r>
          </w:hyperlink>
        </w:p>
        <w:p w14:paraId="2443DE16" w14:textId="72A76C85" w:rsidR="00ED0D50" w:rsidRDefault="00075CF7">
          <w:pPr>
            <w:pStyle w:val="TOC2"/>
            <w:tabs>
              <w:tab w:val="right" w:leader="dot" w:pos="9350"/>
            </w:tabs>
            <w:rPr>
              <w:noProof/>
              <w:lang w:val="es-MX" w:eastAsia="es-MX"/>
            </w:rPr>
          </w:pPr>
          <w:hyperlink w:anchor="_Toc2243506" w:history="1">
            <w:r w:rsidR="00ED0D50" w:rsidRPr="00993667">
              <w:rPr>
                <w:rStyle w:val="Hyperlink"/>
                <w:rFonts w:eastAsia="Times New Roman"/>
                <w:noProof/>
              </w:rPr>
              <w:t>E1. BASELINE</w:t>
            </w:r>
            <w:r w:rsidR="00ED0D50">
              <w:rPr>
                <w:noProof/>
                <w:webHidden/>
              </w:rPr>
              <w:tab/>
            </w:r>
            <w:r w:rsidR="00ED0D50">
              <w:rPr>
                <w:noProof/>
                <w:webHidden/>
              </w:rPr>
              <w:fldChar w:fldCharType="begin"/>
            </w:r>
            <w:r w:rsidR="00ED0D50">
              <w:rPr>
                <w:noProof/>
                <w:webHidden/>
              </w:rPr>
              <w:instrText xml:space="preserve"> PAGEREF _Toc2243506 \h </w:instrText>
            </w:r>
            <w:r w:rsidR="00ED0D50">
              <w:rPr>
                <w:noProof/>
                <w:webHidden/>
              </w:rPr>
            </w:r>
            <w:r w:rsidR="00ED0D50">
              <w:rPr>
                <w:noProof/>
                <w:webHidden/>
              </w:rPr>
              <w:fldChar w:fldCharType="separate"/>
            </w:r>
            <w:r w:rsidR="00473B08">
              <w:rPr>
                <w:noProof/>
                <w:webHidden/>
              </w:rPr>
              <w:t>30</w:t>
            </w:r>
            <w:r w:rsidR="00ED0D50">
              <w:rPr>
                <w:noProof/>
                <w:webHidden/>
              </w:rPr>
              <w:fldChar w:fldCharType="end"/>
            </w:r>
          </w:hyperlink>
        </w:p>
        <w:p w14:paraId="5AABB2CE" w14:textId="07316CE5" w:rsidR="00ED0D50" w:rsidRDefault="00075CF7">
          <w:pPr>
            <w:pStyle w:val="TOC2"/>
            <w:tabs>
              <w:tab w:val="right" w:leader="dot" w:pos="9350"/>
            </w:tabs>
            <w:rPr>
              <w:noProof/>
              <w:lang w:val="es-MX" w:eastAsia="es-MX"/>
            </w:rPr>
          </w:pPr>
          <w:hyperlink w:anchor="_Toc2243507" w:history="1">
            <w:r w:rsidR="00ED0D50" w:rsidRPr="00993667">
              <w:rPr>
                <w:rStyle w:val="Hyperlink"/>
                <w:rFonts w:eastAsia="Times New Roman"/>
                <w:noProof/>
              </w:rPr>
              <w:t>E2. PROJECT SCENARIO</w:t>
            </w:r>
            <w:r w:rsidR="00ED0D50">
              <w:rPr>
                <w:noProof/>
                <w:webHidden/>
              </w:rPr>
              <w:tab/>
            </w:r>
            <w:r w:rsidR="00ED0D50">
              <w:rPr>
                <w:noProof/>
                <w:webHidden/>
              </w:rPr>
              <w:fldChar w:fldCharType="begin"/>
            </w:r>
            <w:r w:rsidR="00ED0D50">
              <w:rPr>
                <w:noProof/>
                <w:webHidden/>
              </w:rPr>
              <w:instrText xml:space="preserve"> PAGEREF _Toc2243507 \h </w:instrText>
            </w:r>
            <w:r w:rsidR="00ED0D50">
              <w:rPr>
                <w:noProof/>
                <w:webHidden/>
              </w:rPr>
            </w:r>
            <w:r w:rsidR="00ED0D50">
              <w:rPr>
                <w:noProof/>
                <w:webHidden/>
              </w:rPr>
              <w:fldChar w:fldCharType="separate"/>
            </w:r>
            <w:r w:rsidR="00473B08">
              <w:rPr>
                <w:noProof/>
                <w:webHidden/>
              </w:rPr>
              <w:t>44</w:t>
            </w:r>
            <w:r w:rsidR="00ED0D50">
              <w:rPr>
                <w:noProof/>
                <w:webHidden/>
              </w:rPr>
              <w:fldChar w:fldCharType="end"/>
            </w:r>
          </w:hyperlink>
        </w:p>
        <w:p w14:paraId="07F76740" w14:textId="55470D6D" w:rsidR="00ED0D50" w:rsidRDefault="00075CF7">
          <w:pPr>
            <w:pStyle w:val="TOC2"/>
            <w:tabs>
              <w:tab w:val="right" w:leader="dot" w:pos="9350"/>
            </w:tabs>
            <w:rPr>
              <w:noProof/>
              <w:lang w:val="es-MX" w:eastAsia="es-MX"/>
            </w:rPr>
          </w:pPr>
          <w:hyperlink w:anchor="_Toc2243508" w:history="1">
            <w:r w:rsidR="00ED0D50" w:rsidRPr="00993667">
              <w:rPr>
                <w:rStyle w:val="Hyperlink"/>
                <w:rFonts w:eastAsia="Times New Roman"/>
                <w:noProof/>
              </w:rPr>
              <w:t>E3. LEAKAGE</w:t>
            </w:r>
            <w:r w:rsidR="00ED0D50">
              <w:rPr>
                <w:noProof/>
                <w:webHidden/>
              </w:rPr>
              <w:tab/>
            </w:r>
            <w:r w:rsidR="00ED0D50">
              <w:rPr>
                <w:noProof/>
                <w:webHidden/>
              </w:rPr>
              <w:fldChar w:fldCharType="begin"/>
            </w:r>
            <w:r w:rsidR="00ED0D50">
              <w:rPr>
                <w:noProof/>
                <w:webHidden/>
              </w:rPr>
              <w:instrText xml:space="preserve"> PAGEREF _Toc2243508 \h </w:instrText>
            </w:r>
            <w:r w:rsidR="00ED0D50">
              <w:rPr>
                <w:noProof/>
                <w:webHidden/>
              </w:rPr>
            </w:r>
            <w:r w:rsidR="00ED0D50">
              <w:rPr>
                <w:noProof/>
                <w:webHidden/>
              </w:rPr>
              <w:fldChar w:fldCharType="separate"/>
            </w:r>
            <w:r w:rsidR="00473B08">
              <w:rPr>
                <w:noProof/>
                <w:webHidden/>
              </w:rPr>
              <w:t>44</w:t>
            </w:r>
            <w:r w:rsidR="00ED0D50">
              <w:rPr>
                <w:noProof/>
                <w:webHidden/>
              </w:rPr>
              <w:fldChar w:fldCharType="end"/>
            </w:r>
          </w:hyperlink>
        </w:p>
        <w:p w14:paraId="3940B0A2" w14:textId="0865782C" w:rsidR="00ED0D50" w:rsidRDefault="00075CF7">
          <w:pPr>
            <w:pStyle w:val="TOC2"/>
            <w:tabs>
              <w:tab w:val="right" w:leader="dot" w:pos="9350"/>
            </w:tabs>
            <w:rPr>
              <w:noProof/>
              <w:lang w:val="es-MX" w:eastAsia="es-MX"/>
            </w:rPr>
          </w:pPr>
          <w:hyperlink w:anchor="_Toc2243509" w:history="1">
            <w:r w:rsidR="00ED0D50" w:rsidRPr="00993667">
              <w:rPr>
                <w:rStyle w:val="Hyperlink"/>
                <w:rFonts w:eastAsia="Times New Roman"/>
                <w:noProof/>
              </w:rPr>
              <w:t>E4. UNCERTAINTY</w:t>
            </w:r>
            <w:r w:rsidR="00ED0D50">
              <w:rPr>
                <w:noProof/>
                <w:webHidden/>
              </w:rPr>
              <w:tab/>
            </w:r>
            <w:r w:rsidR="00ED0D50">
              <w:rPr>
                <w:noProof/>
                <w:webHidden/>
              </w:rPr>
              <w:fldChar w:fldCharType="begin"/>
            </w:r>
            <w:r w:rsidR="00ED0D50">
              <w:rPr>
                <w:noProof/>
                <w:webHidden/>
              </w:rPr>
              <w:instrText xml:space="preserve"> PAGEREF _Toc2243509 \h </w:instrText>
            </w:r>
            <w:r w:rsidR="00ED0D50">
              <w:rPr>
                <w:noProof/>
                <w:webHidden/>
              </w:rPr>
            </w:r>
            <w:r w:rsidR="00ED0D50">
              <w:rPr>
                <w:noProof/>
                <w:webHidden/>
              </w:rPr>
              <w:fldChar w:fldCharType="separate"/>
            </w:r>
            <w:r w:rsidR="00473B08">
              <w:rPr>
                <w:noProof/>
                <w:webHidden/>
              </w:rPr>
              <w:t>45</w:t>
            </w:r>
            <w:r w:rsidR="00ED0D50">
              <w:rPr>
                <w:noProof/>
                <w:webHidden/>
              </w:rPr>
              <w:fldChar w:fldCharType="end"/>
            </w:r>
          </w:hyperlink>
        </w:p>
        <w:p w14:paraId="01C4FB0A" w14:textId="08449648" w:rsidR="00ED0D50" w:rsidRDefault="00075CF7">
          <w:pPr>
            <w:pStyle w:val="TOC2"/>
            <w:tabs>
              <w:tab w:val="right" w:leader="dot" w:pos="9350"/>
            </w:tabs>
            <w:rPr>
              <w:noProof/>
              <w:lang w:val="es-MX" w:eastAsia="es-MX"/>
            </w:rPr>
          </w:pPr>
          <w:hyperlink w:anchor="_Toc2243510" w:history="1">
            <w:r w:rsidR="00ED0D50" w:rsidRPr="00993667">
              <w:rPr>
                <w:rStyle w:val="Hyperlink"/>
                <w:rFonts w:eastAsia="Times New Roman"/>
                <w:noProof/>
              </w:rPr>
              <w:t>E5. REDUCTIONS AND REMOVAL ENHANCEMENTS</w:t>
            </w:r>
            <w:r w:rsidR="00ED0D50">
              <w:rPr>
                <w:noProof/>
                <w:webHidden/>
              </w:rPr>
              <w:tab/>
            </w:r>
            <w:r w:rsidR="00ED0D50">
              <w:rPr>
                <w:noProof/>
                <w:webHidden/>
              </w:rPr>
              <w:fldChar w:fldCharType="begin"/>
            </w:r>
            <w:r w:rsidR="00ED0D50">
              <w:rPr>
                <w:noProof/>
                <w:webHidden/>
              </w:rPr>
              <w:instrText xml:space="preserve"> PAGEREF _Toc2243510 \h </w:instrText>
            </w:r>
            <w:r w:rsidR="00ED0D50">
              <w:rPr>
                <w:noProof/>
                <w:webHidden/>
              </w:rPr>
            </w:r>
            <w:r w:rsidR="00ED0D50">
              <w:rPr>
                <w:noProof/>
                <w:webHidden/>
              </w:rPr>
              <w:fldChar w:fldCharType="separate"/>
            </w:r>
            <w:r w:rsidR="00473B08">
              <w:rPr>
                <w:noProof/>
                <w:webHidden/>
              </w:rPr>
              <w:t>47</w:t>
            </w:r>
            <w:r w:rsidR="00ED0D50">
              <w:rPr>
                <w:noProof/>
                <w:webHidden/>
              </w:rPr>
              <w:fldChar w:fldCharType="end"/>
            </w:r>
          </w:hyperlink>
        </w:p>
        <w:p w14:paraId="7CDF6D58" w14:textId="21FD76C5" w:rsidR="00ED0D50" w:rsidRDefault="00075CF7">
          <w:pPr>
            <w:pStyle w:val="TOC2"/>
            <w:tabs>
              <w:tab w:val="right" w:leader="dot" w:pos="9350"/>
            </w:tabs>
            <w:rPr>
              <w:noProof/>
              <w:lang w:val="es-MX" w:eastAsia="es-MX"/>
            </w:rPr>
          </w:pPr>
          <w:hyperlink w:anchor="_Toc2243511" w:history="1">
            <w:r w:rsidR="00ED0D50" w:rsidRPr="00993667">
              <w:rPr>
                <w:rStyle w:val="Hyperlink"/>
                <w:rFonts w:eastAsia="Times New Roman"/>
                <w:noProof/>
                <w:lang w:val="es-MX"/>
              </w:rPr>
              <w:t>E6. EX-ANTE ESTIMATION METHODS</w:t>
            </w:r>
            <w:r w:rsidR="00ED0D50">
              <w:rPr>
                <w:noProof/>
                <w:webHidden/>
              </w:rPr>
              <w:tab/>
            </w:r>
            <w:r w:rsidR="00ED0D50">
              <w:rPr>
                <w:noProof/>
                <w:webHidden/>
              </w:rPr>
              <w:fldChar w:fldCharType="begin"/>
            </w:r>
            <w:r w:rsidR="00ED0D50">
              <w:rPr>
                <w:noProof/>
                <w:webHidden/>
              </w:rPr>
              <w:instrText xml:space="preserve"> PAGEREF _Toc2243511 \h </w:instrText>
            </w:r>
            <w:r w:rsidR="00ED0D50">
              <w:rPr>
                <w:noProof/>
                <w:webHidden/>
              </w:rPr>
            </w:r>
            <w:r w:rsidR="00ED0D50">
              <w:rPr>
                <w:noProof/>
                <w:webHidden/>
              </w:rPr>
              <w:fldChar w:fldCharType="separate"/>
            </w:r>
            <w:r w:rsidR="00473B08">
              <w:rPr>
                <w:noProof/>
                <w:webHidden/>
              </w:rPr>
              <w:t>51</w:t>
            </w:r>
            <w:r w:rsidR="00ED0D50">
              <w:rPr>
                <w:noProof/>
                <w:webHidden/>
              </w:rPr>
              <w:fldChar w:fldCharType="end"/>
            </w:r>
          </w:hyperlink>
        </w:p>
        <w:p w14:paraId="2272CA73" w14:textId="48DBBEC6" w:rsidR="00ED0D50" w:rsidRDefault="00075CF7">
          <w:pPr>
            <w:pStyle w:val="TOC1"/>
            <w:tabs>
              <w:tab w:val="right" w:leader="dot" w:pos="9350"/>
            </w:tabs>
            <w:rPr>
              <w:noProof/>
              <w:lang w:val="es-MX" w:eastAsia="es-MX"/>
            </w:rPr>
          </w:pPr>
          <w:hyperlink w:anchor="_Toc2243512" w:history="1">
            <w:r w:rsidR="00ED0D50" w:rsidRPr="00993667">
              <w:rPr>
                <w:rStyle w:val="Hyperlink"/>
                <w:noProof/>
              </w:rPr>
              <w:t>F. COMMUNITY &amp; ENVIRONMENTAL IMPACTS</w:t>
            </w:r>
            <w:r w:rsidR="00ED0D50">
              <w:rPr>
                <w:noProof/>
                <w:webHidden/>
              </w:rPr>
              <w:tab/>
            </w:r>
            <w:r w:rsidR="00ED0D50">
              <w:rPr>
                <w:noProof/>
                <w:webHidden/>
              </w:rPr>
              <w:fldChar w:fldCharType="begin"/>
            </w:r>
            <w:r w:rsidR="00ED0D50">
              <w:rPr>
                <w:noProof/>
                <w:webHidden/>
              </w:rPr>
              <w:instrText xml:space="preserve"> PAGEREF _Toc2243512 \h </w:instrText>
            </w:r>
            <w:r w:rsidR="00ED0D50">
              <w:rPr>
                <w:noProof/>
                <w:webHidden/>
              </w:rPr>
            </w:r>
            <w:r w:rsidR="00ED0D50">
              <w:rPr>
                <w:noProof/>
                <w:webHidden/>
              </w:rPr>
              <w:fldChar w:fldCharType="separate"/>
            </w:r>
            <w:r w:rsidR="00473B08">
              <w:rPr>
                <w:noProof/>
                <w:webHidden/>
              </w:rPr>
              <w:t>53</w:t>
            </w:r>
            <w:r w:rsidR="00ED0D50">
              <w:rPr>
                <w:noProof/>
                <w:webHidden/>
              </w:rPr>
              <w:fldChar w:fldCharType="end"/>
            </w:r>
          </w:hyperlink>
        </w:p>
        <w:p w14:paraId="28CD638A" w14:textId="2BA92EC1" w:rsidR="00ED0D50" w:rsidRDefault="00075CF7">
          <w:pPr>
            <w:pStyle w:val="TOC2"/>
            <w:tabs>
              <w:tab w:val="right" w:leader="dot" w:pos="9350"/>
            </w:tabs>
            <w:rPr>
              <w:noProof/>
              <w:lang w:val="es-MX" w:eastAsia="es-MX"/>
            </w:rPr>
          </w:pPr>
          <w:hyperlink w:anchor="_Toc2243513" w:history="1">
            <w:r w:rsidR="00ED0D50" w:rsidRPr="00993667">
              <w:rPr>
                <w:rStyle w:val="Hyperlink"/>
                <w:noProof/>
              </w:rPr>
              <w:t>F1. NET POSITIVE IMPACTS</w:t>
            </w:r>
            <w:r w:rsidR="00ED0D50">
              <w:rPr>
                <w:noProof/>
                <w:webHidden/>
              </w:rPr>
              <w:tab/>
            </w:r>
            <w:r w:rsidR="00ED0D50">
              <w:rPr>
                <w:noProof/>
                <w:webHidden/>
              </w:rPr>
              <w:fldChar w:fldCharType="begin"/>
            </w:r>
            <w:r w:rsidR="00ED0D50">
              <w:rPr>
                <w:noProof/>
                <w:webHidden/>
              </w:rPr>
              <w:instrText xml:space="preserve"> PAGEREF _Toc2243513 \h </w:instrText>
            </w:r>
            <w:r w:rsidR="00ED0D50">
              <w:rPr>
                <w:noProof/>
                <w:webHidden/>
              </w:rPr>
            </w:r>
            <w:r w:rsidR="00ED0D50">
              <w:rPr>
                <w:noProof/>
                <w:webHidden/>
              </w:rPr>
              <w:fldChar w:fldCharType="separate"/>
            </w:r>
            <w:r w:rsidR="00473B08">
              <w:rPr>
                <w:noProof/>
                <w:webHidden/>
              </w:rPr>
              <w:t>54</w:t>
            </w:r>
            <w:r w:rsidR="00ED0D50">
              <w:rPr>
                <w:noProof/>
                <w:webHidden/>
              </w:rPr>
              <w:fldChar w:fldCharType="end"/>
            </w:r>
          </w:hyperlink>
        </w:p>
        <w:p w14:paraId="6A705CBA" w14:textId="4CD9FA32" w:rsidR="00ED0D50" w:rsidRDefault="00075CF7">
          <w:pPr>
            <w:pStyle w:val="TOC2"/>
            <w:tabs>
              <w:tab w:val="right" w:leader="dot" w:pos="9350"/>
            </w:tabs>
            <w:rPr>
              <w:noProof/>
              <w:lang w:val="es-MX" w:eastAsia="es-MX"/>
            </w:rPr>
          </w:pPr>
          <w:hyperlink w:anchor="_Toc2243514" w:history="1">
            <w:r w:rsidR="00ED0D50" w:rsidRPr="00993667">
              <w:rPr>
                <w:rStyle w:val="Hyperlink"/>
                <w:noProof/>
              </w:rPr>
              <w:t>F2. STAKEHOLDER COMMENTS</w:t>
            </w:r>
            <w:r w:rsidR="00ED0D50">
              <w:rPr>
                <w:noProof/>
                <w:webHidden/>
              </w:rPr>
              <w:tab/>
            </w:r>
            <w:r w:rsidR="00ED0D50">
              <w:rPr>
                <w:noProof/>
                <w:webHidden/>
              </w:rPr>
              <w:fldChar w:fldCharType="begin"/>
            </w:r>
            <w:r w:rsidR="00ED0D50">
              <w:rPr>
                <w:noProof/>
                <w:webHidden/>
              </w:rPr>
              <w:instrText xml:space="preserve"> PAGEREF _Toc2243514 \h </w:instrText>
            </w:r>
            <w:r w:rsidR="00ED0D50">
              <w:rPr>
                <w:noProof/>
                <w:webHidden/>
              </w:rPr>
            </w:r>
            <w:r w:rsidR="00ED0D50">
              <w:rPr>
                <w:noProof/>
                <w:webHidden/>
              </w:rPr>
              <w:fldChar w:fldCharType="separate"/>
            </w:r>
            <w:r w:rsidR="00473B08">
              <w:rPr>
                <w:noProof/>
                <w:webHidden/>
              </w:rPr>
              <w:t>58</w:t>
            </w:r>
            <w:r w:rsidR="00ED0D50">
              <w:rPr>
                <w:noProof/>
                <w:webHidden/>
              </w:rPr>
              <w:fldChar w:fldCharType="end"/>
            </w:r>
          </w:hyperlink>
        </w:p>
        <w:p w14:paraId="73A2433A" w14:textId="7C0E895A" w:rsidR="00ED0D50" w:rsidRDefault="00075CF7">
          <w:pPr>
            <w:pStyle w:val="TOC1"/>
            <w:tabs>
              <w:tab w:val="right" w:leader="dot" w:pos="9350"/>
            </w:tabs>
            <w:rPr>
              <w:noProof/>
              <w:lang w:val="es-MX" w:eastAsia="es-MX"/>
            </w:rPr>
          </w:pPr>
          <w:hyperlink w:anchor="_Toc2243515" w:history="1">
            <w:r w:rsidR="00ED0D50" w:rsidRPr="00993667">
              <w:rPr>
                <w:rStyle w:val="Hyperlink"/>
                <w:noProof/>
              </w:rPr>
              <w:t>G. OWNERSHIP AND TITLE</w:t>
            </w:r>
            <w:r w:rsidR="00ED0D50">
              <w:rPr>
                <w:noProof/>
                <w:webHidden/>
              </w:rPr>
              <w:tab/>
            </w:r>
            <w:r w:rsidR="00ED0D50">
              <w:rPr>
                <w:noProof/>
                <w:webHidden/>
              </w:rPr>
              <w:fldChar w:fldCharType="begin"/>
            </w:r>
            <w:r w:rsidR="00ED0D50">
              <w:rPr>
                <w:noProof/>
                <w:webHidden/>
              </w:rPr>
              <w:instrText xml:space="preserve"> PAGEREF _Toc2243515 \h </w:instrText>
            </w:r>
            <w:r w:rsidR="00ED0D50">
              <w:rPr>
                <w:noProof/>
                <w:webHidden/>
              </w:rPr>
            </w:r>
            <w:r w:rsidR="00ED0D50">
              <w:rPr>
                <w:noProof/>
                <w:webHidden/>
              </w:rPr>
              <w:fldChar w:fldCharType="separate"/>
            </w:r>
            <w:r w:rsidR="00473B08">
              <w:rPr>
                <w:noProof/>
                <w:webHidden/>
              </w:rPr>
              <w:t>61</w:t>
            </w:r>
            <w:r w:rsidR="00ED0D50">
              <w:rPr>
                <w:noProof/>
                <w:webHidden/>
              </w:rPr>
              <w:fldChar w:fldCharType="end"/>
            </w:r>
          </w:hyperlink>
        </w:p>
        <w:p w14:paraId="32FA0B59" w14:textId="139DC2CE" w:rsidR="00ED0D50" w:rsidRDefault="00075CF7">
          <w:pPr>
            <w:pStyle w:val="TOC2"/>
            <w:tabs>
              <w:tab w:val="right" w:leader="dot" w:pos="9350"/>
            </w:tabs>
            <w:rPr>
              <w:noProof/>
              <w:lang w:val="es-MX" w:eastAsia="es-MX"/>
            </w:rPr>
          </w:pPr>
          <w:hyperlink w:anchor="_Toc2243516" w:history="1">
            <w:r w:rsidR="00ED0D50" w:rsidRPr="00993667">
              <w:rPr>
                <w:rStyle w:val="Hyperlink"/>
                <w:noProof/>
              </w:rPr>
              <w:t>G1. PROOF OF TITLE</w:t>
            </w:r>
            <w:r w:rsidR="00ED0D50">
              <w:rPr>
                <w:noProof/>
                <w:webHidden/>
              </w:rPr>
              <w:tab/>
            </w:r>
            <w:r w:rsidR="00ED0D50">
              <w:rPr>
                <w:noProof/>
                <w:webHidden/>
              </w:rPr>
              <w:fldChar w:fldCharType="begin"/>
            </w:r>
            <w:r w:rsidR="00ED0D50">
              <w:rPr>
                <w:noProof/>
                <w:webHidden/>
              </w:rPr>
              <w:instrText xml:space="preserve"> PAGEREF _Toc2243516 \h </w:instrText>
            </w:r>
            <w:r w:rsidR="00ED0D50">
              <w:rPr>
                <w:noProof/>
                <w:webHidden/>
              </w:rPr>
            </w:r>
            <w:r w:rsidR="00ED0D50">
              <w:rPr>
                <w:noProof/>
                <w:webHidden/>
              </w:rPr>
              <w:fldChar w:fldCharType="separate"/>
            </w:r>
            <w:r w:rsidR="00473B08">
              <w:rPr>
                <w:noProof/>
                <w:webHidden/>
              </w:rPr>
              <w:t>62</w:t>
            </w:r>
            <w:r w:rsidR="00ED0D50">
              <w:rPr>
                <w:noProof/>
                <w:webHidden/>
              </w:rPr>
              <w:fldChar w:fldCharType="end"/>
            </w:r>
          </w:hyperlink>
        </w:p>
        <w:p w14:paraId="3D9211CD" w14:textId="48E25EFE" w:rsidR="00ED0D50" w:rsidRDefault="00075CF7">
          <w:pPr>
            <w:pStyle w:val="TOC2"/>
            <w:tabs>
              <w:tab w:val="right" w:leader="dot" w:pos="9350"/>
            </w:tabs>
            <w:rPr>
              <w:noProof/>
              <w:lang w:val="es-MX" w:eastAsia="es-MX"/>
            </w:rPr>
          </w:pPr>
          <w:hyperlink w:anchor="_Toc2243517" w:history="1">
            <w:r w:rsidR="00ED0D50" w:rsidRPr="00993667">
              <w:rPr>
                <w:rStyle w:val="Hyperlink"/>
                <w:noProof/>
              </w:rPr>
              <w:t>G2. CHAIN OF CUSTODY</w:t>
            </w:r>
            <w:r w:rsidR="00ED0D50">
              <w:rPr>
                <w:noProof/>
                <w:webHidden/>
              </w:rPr>
              <w:tab/>
            </w:r>
            <w:r w:rsidR="00ED0D50">
              <w:rPr>
                <w:noProof/>
                <w:webHidden/>
              </w:rPr>
              <w:fldChar w:fldCharType="begin"/>
            </w:r>
            <w:r w:rsidR="00ED0D50">
              <w:rPr>
                <w:noProof/>
                <w:webHidden/>
              </w:rPr>
              <w:instrText xml:space="preserve"> PAGEREF _Toc2243517 \h </w:instrText>
            </w:r>
            <w:r w:rsidR="00ED0D50">
              <w:rPr>
                <w:noProof/>
                <w:webHidden/>
              </w:rPr>
            </w:r>
            <w:r w:rsidR="00ED0D50">
              <w:rPr>
                <w:noProof/>
                <w:webHidden/>
              </w:rPr>
              <w:fldChar w:fldCharType="separate"/>
            </w:r>
            <w:r w:rsidR="00473B08">
              <w:rPr>
                <w:noProof/>
                <w:webHidden/>
              </w:rPr>
              <w:t>62</w:t>
            </w:r>
            <w:r w:rsidR="00ED0D50">
              <w:rPr>
                <w:noProof/>
                <w:webHidden/>
              </w:rPr>
              <w:fldChar w:fldCharType="end"/>
            </w:r>
          </w:hyperlink>
        </w:p>
        <w:p w14:paraId="27C1AF5B" w14:textId="10A0842B" w:rsidR="00ED0D50" w:rsidRDefault="00075CF7">
          <w:pPr>
            <w:pStyle w:val="TOC2"/>
            <w:tabs>
              <w:tab w:val="right" w:leader="dot" w:pos="9350"/>
            </w:tabs>
            <w:rPr>
              <w:noProof/>
              <w:lang w:val="es-MX" w:eastAsia="es-MX"/>
            </w:rPr>
          </w:pPr>
          <w:hyperlink w:anchor="_Toc2243518" w:history="1">
            <w:r w:rsidR="00ED0D50" w:rsidRPr="00993667">
              <w:rPr>
                <w:rStyle w:val="Hyperlink"/>
                <w:noProof/>
              </w:rPr>
              <w:t>G3. PRIOR APPLICATION</w:t>
            </w:r>
            <w:r w:rsidR="00ED0D50">
              <w:rPr>
                <w:noProof/>
                <w:webHidden/>
              </w:rPr>
              <w:tab/>
            </w:r>
            <w:r w:rsidR="00ED0D50">
              <w:rPr>
                <w:noProof/>
                <w:webHidden/>
              </w:rPr>
              <w:fldChar w:fldCharType="begin"/>
            </w:r>
            <w:r w:rsidR="00ED0D50">
              <w:rPr>
                <w:noProof/>
                <w:webHidden/>
              </w:rPr>
              <w:instrText xml:space="preserve"> PAGEREF _Toc2243518 \h </w:instrText>
            </w:r>
            <w:r w:rsidR="00ED0D50">
              <w:rPr>
                <w:noProof/>
                <w:webHidden/>
              </w:rPr>
            </w:r>
            <w:r w:rsidR="00ED0D50">
              <w:rPr>
                <w:noProof/>
                <w:webHidden/>
              </w:rPr>
              <w:fldChar w:fldCharType="separate"/>
            </w:r>
            <w:r w:rsidR="00473B08">
              <w:rPr>
                <w:noProof/>
                <w:webHidden/>
              </w:rPr>
              <w:t>62</w:t>
            </w:r>
            <w:r w:rsidR="00ED0D50">
              <w:rPr>
                <w:noProof/>
                <w:webHidden/>
              </w:rPr>
              <w:fldChar w:fldCharType="end"/>
            </w:r>
          </w:hyperlink>
        </w:p>
        <w:p w14:paraId="4C70ED48" w14:textId="181F570B" w:rsidR="00ED0D50" w:rsidRDefault="00075CF7">
          <w:pPr>
            <w:pStyle w:val="TOC1"/>
            <w:tabs>
              <w:tab w:val="right" w:leader="dot" w:pos="9350"/>
            </w:tabs>
            <w:rPr>
              <w:noProof/>
              <w:lang w:val="es-MX" w:eastAsia="es-MX"/>
            </w:rPr>
          </w:pPr>
          <w:hyperlink w:anchor="_Toc2243519" w:history="1">
            <w:r w:rsidR="00ED0D50" w:rsidRPr="00993667">
              <w:rPr>
                <w:rStyle w:val="Hyperlink"/>
                <w:noProof/>
              </w:rPr>
              <w:t>H. PROJECT TIMELINE</w:t>
            </w:r>
            <w:r w:rsidR="00ED0D50">
              <w:rPr>
                <w:noProof/>
                <w:webHidden/>
              </w:rPr>
              <w:tab/>
            </w:r>
            <w:r w:rsidR="00ED0D50">
              <w:rPr>
                <w:noProof/>
                <w:webHidden/>
              </w:rPr>
              <w:fldChar w:fldCharType="begin"/>
            </w:r>
            <w:r w:rsidR="00ED0D50">
              <w:rPr>
                <w:noProof/>
                <w:webHidden/>
              </w:rPr>
              <w:instrText xml:space="preserve"> PAGEREF _Toc2243519 \h </w:instrText>
            </w:r>
            <w:r w:rsidR="00ED0D50">
              <w:rPr>
                <w:noProof/>
                <w:webHidden/>
              </w:rPr>
            </w:r>
            <w:r w:rsidR="00ED0D50">
              <w:rPr>
                <w:noProof/>
                <w:webHidden/>
              </w:rPr>
              <w:fldChar w:fldCharType="separate"/>
            </w:r>
            <w:r w:rsidR="00473B08">
              <w:rPr>
                <w:noProof/>
                <w:webHidden/>
              </w:rPr>
              <w:t>63</w:t>
            </w:r>
            <w:r w:rsidR="00ED0D50">
              <w:rPr>
                <w:noProof/>
                <w:webHidden/>
              </w:rPr>
              <w:fldChar w:fldCharType="end"/>
            </w:r>
          </w:hyperlink>
        </w:p>
        <w:p w14:paraId="234BB7FA" w14:textId="03591280" w:rsidR="00ED0D50" w:rsidRDefault="00075CF7">
          <w:pPr>
            <w:pStyle w:val="TOC2"/>
            <w:tabs>
              <w:tab w:val="right" w:leader="dot" w:pos="9350"/>
            </w:tabs>
            <w:rPr>
              <w:noProof/>
              <w:lang w:val="es-MX" w:eastAsia="es-MX"/>
            </w:rPr>
          </w:pPr>
          <w:hyperlink w:anchor="_Toc2243520" w:history="1">
            <w:r w:rsidR="00ED0D50" w:rsidRPr="00993667">
              <w:rPr>
                <w:rStyle w:val="Hyperlink"/>
                <w:noProof/>
              </w:rPr>
              <w:t>H1. START DATE</w:t>
            </w:r>
            <w:r w:rsidR="00ED0D50">
              <w:rPr>
                <w:noProof/>
                <w:webHidden/>
              </w:rPr>
              <w:tab/>
            </w:r>
            <w:r w:rsidR="00ED0D50">
              <w:rPr>
                <w:noProof/>
                <w:webHidden/>
              </w:rPr>
              <w:fldChar w:fldCharType="begin"/>
            </w:r>
            <w:r w:rsidR="00ED0D50">
              <w:rPr>
                <w:noProof/>
                <w:webHidden/>
              </w:rPr>
              <w:instrText xml:space="preserve"> PAGEREF _Toc2243520 \h </w:instrText>
            </w:r>
            <w:r w:rsidR="00ED0D50">
              <w:rPr>
                <w:noProof/>
                <w:webHidden/>
              </w:rPr>
            </w:r>
            <w:r w:rsidR="00ED0D50">
              <w:rPr>
                <w:noProof/>
                <w:webHidden/>
              </w:rPr>
              <w:fldChar w:fldCharType="separate"/>
            </w:r>
            <w:r w:rsidR="00473B08">
              <w:rPr>
                <w:noProof/>
                <w:webHidden/>
              </w:rPr>
              <w:t>64</w:t>
            </w:r>
            <w:r w:rsidR="00ED0D50">
              <w:rPr>
                <w:noProof/>
                <w:webHidden/>
              </w:rPr>
              <w:fldChar w:fldCharType="end"/>
            </w:r>
          </w:hyperlink>
        </w:p>
        <w:p w14:paraId="2ADDBCFA" w14:textId="126B6D2A" w:rsidR="00ED0D50" w:rsidRDefault="00075CF7">
          <w:pPr>
            <w:pStyle w:val="TOC2"/>
            <w:tabs>
              <w:tab w:val="right" w:leader="dot" w:pos="9350"/>
            </w:tabs>
            <w:rPr>
              <w:noProof/>
              <w:lang w:val="es-MX" w:eastAsia="es-MX"/>
            </w:rPr>
          </w:pPr>
          <w:hyperlink w:anchor="_Toc2243521" w:history="1">
            <w:r w:rsidR="00ED0D50" w:rsidRPr="00993667">
              <w:rPr>
                <w:rStyle w:val="Hyperlink"/>
                <w:noProof/>
              </w:rPr>
              <w:t>H2. PROJECT TIMELINE</w:t>
            </w:r>
            <w:r w:rsidR="00ED0D50">
              <w:rPr>
                <w:noProof/>
                <w:webHidden/>
              </w:rPr>
              <w:tab/>
            </w:r>
            <w:r w:rsidR="00ED0D50">
              <w:rPr>
                <w:noProof/>
                <w:webHidden/>
              </w:rPr>
              <w:fldChar w:fldCharType="begin"/>
            </w:r>
            <w:r w:rsidR="00ED0D50">
              <w:rPr>
                <w:noProof/>
                <w:webHidden/>
              </w:rPr>
              <w:instrText xml:space="preserve"> PAGEREF _Toc2243521 \h </w:instrText>
            </w:r>
            <w:r w:rsidR="00ED0D50">
              <w:rPr>
                <w:noProof/>
                <w:webHidden/>
              </w:rPr>
            </w:r>
            <w:r w:rsidR="00ED0D50">
              <w:rPr>
                <w:noProof/>
                <w:webHidden/>
              </w:rPr>
              <w:fldChar w:fldCharType="separate"/>
            </w:r>
            <w:r w:rsidR="00473B08">
              <w:rPr>
                <w:noProof/>
                <w:webHidden/>
              </w:rPr>
              <w:t>64</w:t>
            </w:r>
            <w:r w:rsidR="00ED0D50">
              <w:rPr>
                <w:noProof/>
                <w:webHidden/>
              </w:rPr>
              <w:fldChar w:fldCharType="end"/>
            </w:r>
          </w:hyperlink>
        </w:p>
        <w:p w14:paraId="4A463E09" w14:textId="3E121135" w:rsidR="00661201" w:rsidRDefault="00B240B3">
          <w:r>
            <w:fldChar w:fldCharType="end"/>
          </w:r>
        </w:p>
      </w:sdtContent>
    </w:sdt>
    <w:p w14:paraId="49F24F9E" w14:textId="77777777" w:rsidR="00E53366" w:rsidRPr="00097C72" w:rsidRDefault="00E53366" w:rsidP="00E53366">
      <w:pPr>
        <w:rPr>
          <w:i/>
          <w:iCs/>
        </w:rPr>
      </w:pPr>
      <w:r>
        <w:rPr>
          <w:i/>
          <w:iCs/>
        </w:rPr>
        <w:t xml:space="preserve">Note: Where file names are mentioned in this document a * at the end of the file name represents the most recent version of the document. </w:t>
      </w:r>
    </w:p>
    <w:p w14:paraId="48ADADD3" w14:textId="77777777" w:rsidR="00E53366" w:rsidRDefault="00E53366"/>
    <w:p w14:paraId="03C6BF42" w14:textId="77777777" w:rsidR="00A032A8" w:rsidRDefault="00661201" w:rsidP="00661201">
      <w:pPr>
        <w:pStyle w:val="Heading1"/>
        <w:sectPr w:rsidR="00A032A8" w:rsidSect="00B90FD2">
          <w:headerReference w:type="default" r:id="rId14"/>
          <w:footerReference w:type="default" r:id="rId15"/>
          <w:pgSz w:w="12240" w:h="15840"/>
          <w:pgMar w:top="1440" w:right="1440" w:bottom="1440" w:left="1440" w:header="720" w:footer="144" w:gutter="0"/>
          <w:cols w:space="720"/>
          <w:docGrid w:linePitch="360"/>
        </w:sectPr>
      </w:pPr>
      <w:r>
        <w:br w:type="page"/>
      </w:r>
    </w:p>
    <w:p w14:paraId="7AA3EE3C" w14:textId="77777777" w:rsidR="00661201" w:rsidRDefault="00661201" w:rsidP="00661201">
      <w:pPr>
        <w:pStyle w:val="Heading1"/>
        <w:rPr>
          <w:b w:val="0"/>
          <w:bCs w:val="0"/>
        </w:rPr>
      </w:pPr>
    </w:p>
    <w:p w14:paraId="7DF77AE4" w14:textId="77777777" w:rsidR="00661201" w:rsidRDefault="00661201" w:rsidP="006F54FC">
      <w:pPr>
        <w:pStyle w:val="Heading1"/>
      </w:pPr>
    </w:p>
    <w:p w14:paraId="1A3269DA" w14:textId="77777777" w:rsidR="00661201" w:rsidRDefault="00661201" w:rsidP="006F54FC">
      <w:pPr>
        <w:pStyle w:val="Heading1"/>
      </w:pPr>
    </w:p>
    <w:p w14:paraId="1B138EC3" w14:textId="77777777" w:rsidR="00661201" w:rsidRDefault="00661201" w:rsidP="006F54FC">
      <w:pPr>
        <w:pStyle w:val="Heading1"/>
      </w:pPr>
    </w:p>
    <w:p w14:paraId="58589C04" w14:textId="77777777" w:rsidR="00B928A1" w:rsidRPr="00546796" w:rsidRDefault="00546796" w:rsidP="006F54FC">
      <w:pPr>
        <w:pStyle w:val="Heading1"/>
        <w:rPr>
          <w:sz w:val="36"/>
        </w:rPr>
      </w:pPr>
      <w:bookmarkStart w:id="1" w:name="_Toc2243480"/>
      <w:r w:rsidRPr="000E23B0">
        <w:t>A.</w:t>
      </w:r>
      <w:r w:rsidR="003B7D55">
        <w:br/>
      </w:r>
      <w:r w:rsidR="00757CAA">
        <w:t xml:space="preserve">PROJECT </w:t>
      </w:r>
      <w:r w:rsidR="009656CA">
        <w:t>OVERVIEW</w:t>
      </w:r>
      <w:bookmarkEnd w:id="1"/>
      <w:r w:rsidR="00757CAA" w:rsidRPr="00546796">
        <w:rPr>
          <w:sz w:val="36"/>
        </w:rPr>
        <w:t xml:space="preserve"> </w:t>
      </w:r>
      <w:r w:rsidR="00B928A1" w:rsidRPr="00546796">
        <w:rPr>
          <w:sz w:val="36"/>
        </w:rPr>
        <w:br w:type="page"/>
      </w:r>
    </w:p>
    <w:p w14:paraId="5A6622BD" w14:textId="77777777" w:rsidR="00FA048C" w:rsidRDefault="00546796" w:rsidP="009822A8">
      <w:pPr>
        <w:pStyle w:val="Heading2"/>
      </w:pPr>
      <w:bookmarkStart w:id="2" w:name="_Toc2243481"/>
      <w:r w:rsidRPr="009822A8">
        <w:t xml:space="preserve">A1. </w:t>
      </w:r>
      <w:r w:rsidR="00757CAA">
        <w:t>PROJECT TITLE</w:t>
      </w:r>
      <w:bookmarkEnd w:id="2"/>
    </w:p>
    <w:p w14:paraId="24B37BB9" w14:textId="77777777" w:rsidR="00A77926" w:rsidRDefault="00215521" w:rsidP="000D69A4">
      <w:bookmarkStart w:id="3" w:name="_Hlk48282058"/>
      <w:r w:rsidRPr="00215521">
        <w:t>Tennessee Nature Conservancy/UT AgResearch Working Woodlands Project</w:t>
      </w:r>
      <w:bookmarkStart w:id="4" w:name="_Toc2243482"/>
      <w:bookmarkEnd w:id="3"/>
    </w:p>
    <w:p w14:paraId="55B984BB" w14:textId="1AE44B16" w:rsidR="00FA048C" w:rsidRPr="009822A8" w:rsidRDefault="00A54510" w:rsidP="009822A8">
      <w:pPr>
        <w:pStyle w:val="Heading2"/>
      </w:pPr>
      <w:r>
        <w:t xml:space="preserve">A2. </w:t>
      </w:r>
      <w:r w:rsidR="00757CAA">
        <w:t>PROJECT TYPE</w:t>
      </w:r>
      <w:bookmarkEnd w:id="4"/>
      <w:r w:rsidR="00A77926">
        <w:t xml:space="preserve"> AND PURPOSE/OBJECTIVE</w:t>
      </w:r>
    </w:p>
    <w:p w14:paraId="4925D964" w14:textId="7968BFCB" w:rsidR="00A478C2" w:rsidRDefault="00A77926" w:rsidP="00757CAA">
      <w:r>
        <w:t xml:space="preserve">Project type: </w:t>
      </w:r>
      <w:r w:rsidR="00DB026C">
        <w:t>Improved Forest Management</w:t>
      </w:r>
    </w:p>
    <w:p w14:paraId="4292BA75" w14:textId="148AA636" w:rsidR="00A77926" w:rsidRPr="00935D74" w:rsidRDefault="00A77926" w:rsidP="00757CAA">
      <w:pPr>
        <w:rPr>
          <w:i/>
        </w:rPr>
      </w:pPr>
      <w:r>
        <w:t>Purpose/objective: To improve carbon storage in standing biomass through improved forest management.</w:t>
      </w:r>
    </w:p>
    <w:p w14:paraId="4C11BAE7" w14:textId="77777777" w:rsidR="009656CA" w:rsidRDefault="009656CA" w:rsidP="009656CA">
      <w:pPr>
        <w:pStyle w:val="Heading2"/>
      </w:pPr>
      <w:bookmarkStart w:id="5" w:name="_Toc2243483"/>
      <w:r>
        <w:t>A3. PROOF OF PROJECT ELIGIBILITY</w:t>
      </w:r>
      <w:bookmarkEnd w:id="5"/>
    </w:p>
    <w:p w14:paraId="5F3C0722" w14:textId="77777777" w:rsidR="009656CA" w:rsidRDefault="009656CA" w:rsidP="009656CA">
      <w:pPr>
        <w:rPr>
          <w:i/>
        </w:rPr>
      </w:pPr>
    </w:p>
    <w:p w14:paraId="1CEA8DAD" w14:textId="102B8CD9" w:rsidR="007007AC" w:rsidRDefault="007007AC" w:rsidP="009656CA">
      <w:r>
        <w:t>Relevant eligibility requirements and demonstration that they are met by the project are elaborated below.</w:t>
      </w:r>
    </w:p>
    <w:tbl>
      <w:tblPr>
        <w:tblStyle w:val="TableGrid"/>
        <w:tblW w:w="0" w:type="auto"/>
        <w:tblLook w:val="04A0" w:firstRow="1" w:lastRow="0" w:firstColumn="1" w:lastColumn="0" w:noHBand="0" w:noVBand="1"/>
      </w:tblPr>
      <w:tblGrid>
        <w:gridCol w:w="4675"/>
        <w:gridCol w:w="4675"/>
      </w:tblGrid>
      <w:tr w:rsidR="006554DC" w:rsidRPr="00D37214" w14:paraId="34D01A15" w14:textId="77777777" w:rsidTr="00072549">
        <w:trPr>
          <w:tblHeader/>
        </w:trPr>
        <w:tc>
          <w:tcPr>
            <w:tcW w:w="4788" w:type="dxa"/>
          </w:tcPr>
          <w:p w14:paraId="245849BB" w14:textId="77777777" w:rsidR="006554DC" w:rsidRPr="00D37214" w:rsidRDefault="006554DC" w:rsidP="00072549">
            <w:pPr>
              <w:rPr>
                <w:rFonts w:cstheme="minorHAnsi"/>
                <w:b/>
              </w:rPr>
            </w:pPr>
            <w:r w:rsidRPr="00D37214">
              <w:rPr>
                <w:rFonts w:cstheme="minorHAnsi"/>
                <w:b/>
              </w:rPr>
              <w:t>ACR Eligibility Requirement</w:t>
            </w:r>
          </w:p>
        </w:tc>
        <w:tc>
          <w:tcPr>
            <w:tcW w:w="4788" w:type="dxa"/>
          </w:tcPr>
          <w:p w14:paraId="6A114D51" w14:textId="77777777" w:rsidR="006554DC" w:rsidRPr="00D37214" w:rsidRDefault="006554DC" w:rsidP="00072549">
            <w:pPr>
              <w:rPr>
                <w:rFonts w:cstheme="minorHAnsi"/>
                <w:b/>
              </w:rPr>
            </w:pPr>
            <w:r w:rsidRPr="00D37214">
              <w:rPr>
                <w:rFonts w:cstheme="minorHAnsi"/>
                <w:b/>
              </w:rPr>
              <w:t>Demonstration of compliance</w:t>
            </w:r>
          </w:p>
        </w:tc>
      </w:tr>
      <w:tr w:rsidR="006554DC" w:rsidRPr="00E264CD" w14:paraId="1503DA99" w14:textId="77777777" w:rsidTr="00072549">
        <w:tc>
          <w:tcPr>
            <w:tcW w:w="4788" w:type="dxa"/>
          </w:tcPr>
          <w:p w14:paraId="2E85628F" w14:textId="77777777" w:rsidR="006554DC" w:rsidRPr="00D37214" w:rsidRDefault="006554DC" w:rsidP="00072549">
            <w:pPr>
              <w:rPr>
                <w:rFonts w:cstheme="minorHAnsi"/>
              </w:rPr>
            </w:pPr>
            <w:r w:rsidRPr="00D37214">
              <w:rPr>
                <w:rFonts w:cstheme="minorHAnsi"/>
              </w:rPr>
              <w:t>Start date</w:t>
            </w:r>
          </w:p>
        </w:tc>
        <w:tc>
          <w:tcPr>
            <w:tcW w:w="4788" w:type="dxa"/>
          </w:tcPr>
          <w:p w14:paraId="7922741E" w14:textId="5FF4D73D" w:rsidR="006554DC" w:rsidRPr="006554DC" w:rsidRDefault="006554DC" w:rsidP="006554DC">
            <w:pPr>
              <w:rPr>
                <w:rFonts w:cstheme="minorHAnsi"/>
              </w:rPr>
            </w:pPr>
            <w:r>
              <w:rPr>
                <w:rFonts w:cstheme="minorHAnsi"/>
              </w:rPr>
              <w:t xml:space="preserve">The project </w:t>
            </w:r>
            <w:r w:rsidR="00684102">
              <w:rPr>
                <w:rFonts w:cstheme="minorHAnsi"/>
              </w:rPr>
              <w:t xml:space="preserve">is being validated within three years of the </w:t>
            </w:r>
            <w:r w:rsidR="003D0CE2">
              <w:rPr>
                <w:rFonts w:cstheme="minorHAnsi"/>
              </w:rPr>
              <w:t>November 26 2019</w:t>
            </w:r>
            <w:r w:rsidR="00684102">
              <w:rPr>
                <w:rFonts w:cstheme="minorHAnsi"/>
              </w:rPr>
              <w:t xml:space="preserve"> project start date</w:t>
            </w:r>
            <w:r w:rsidRPr="00D37214">
              <w:rPr>
                <w:rFonts w:cstheme="minorHAnsi"/>
              </w:rPr>
              <w:t xml:space="preserve">. The methodology specifies that “The Start Date is when the Project Proponent began to apply the land management regime to increase carbon stocks and/or reduce emissions.”, which </w:t>
            </w:r>
            <w:r>
              <w:rPr>
                <w:rFonts w:cstheme="minorHAnsi"/>
              </w:rPr>
              <w:t>is</w:t>
            </w:r>
            <w:r w:rsidR="003C795C">
              <w:rPr>
                <w:rFonts w:cstheme="minorHAnsi"/>
              </w:rPr>
              <w:t xml:space="preserve"> marked by the date that </w:t>
            </w:r>
            <w:r w:rsidR="003D0CE2">
              <w:rPr>
                <w:rFonts w:cstheme="minorHAnsi"/>
              </w:rPr>
              <w:t xml:space="preserve">the University of Tennessee (UT) signed an agreement with </w:t>
            </w:r>
            <w:r w:rsidR="003C795C">
              <w:rPr>
                <w:rFonts w:cstheme="minorHAnsi"/>
              </w:rPr>
              <w:t>The Nature Conservancy</w:t>
            </w:r>
            <w:r w:rsidR="0084056C">
              <w:rPr>
                <w:rFonts w:cstheme="minorHAnsi"/>
              </w:rPr>
              <w:t xml:space="preserve"> (TNC)</w:t>
            </w:r>
            <w:r>
              <w:rPr>
                <w:rFonts w:cstheme="minorHAnsi"/>
              </w:rPr>
              <w:t xml:space="preserve"> </w:t>
            </w:r>
            <w:r w:rsidR="003D0CE2">
              <w:rPr>
                <w:rFonts w:cstheme="minorHAnsi"/>
              </w:rPr>
              <w:t>to develop a climate mitigation project</w:t>
            </w:r>
            <w:r>
              <w:t xml:space="preserve">.  </w:t>
            </w:r>
          </w:p>
          <w:p w14:paraId="49DEE321" w14:textId="77777777" w:rsidR="006554DC" w:rsidRPr="00D37214" w:rsidRDefault="006554DC" w:rsidP="00072549">
            <w:pPr>
              <w:rPr>
                <w:rFonts w:cstheme="minorHAnsi"/>
              </w:rPr>
            </w:pPr>
          </w:p>
          <w:p w14:paraId="292BEBDA" w14:textId="77777777" w:rsidR="006554DC" w:rsidRPr="00D37214" w:rsidRDefault="006554DC" w:rsidP="00072549">
            <w:pPr>
              <w:rPr>
                <w:rFonts w:cstheme="minorHAnsi"/>
              </w:rPr>
            </w:pPr>
          </w:p>
        </w:tc>
      </w:tr>
      <w:tr w:rsidR="006554DC" w:rsidRPr="00E264CD" w14:paraId="09433E3B" w14:textId="77777777" w:rsidTr="00072549">
        <w:tc>
          <w:tcPr>
            <w:tcW w:w="4788" w:type="dxa"/>
          </w:tcPr>
          <w:p w14:paraId="4FE5CF3C" w14:textId="77777777" w:rsidR="006554DC" w:rsidRPr="00D37214" w:rsidRDefault="006554DC" w:rsidP="00072549">
            <w:pPr>
              <w:rPr>
                <w:rFonts w:cstheme="minorHAnsi"/>
              </w:rPr>
            </w:pPr>
            <w:r w:rsidRPr="00D37214">
              <w:rPr>
                <w:rFonts w:cstheme="minorHAnsi"/>
              </w:rPr>
              <w:t>Minimum project term</w:t>
            </w:r>
          </w:p>
        </w:tc>
        <w:tc>
          <w:tcPr>
            <w:tcW w:w="4788" w:type="dxa"/>
          </w:tcPr>
          <w:p w14:paraId="3E4C1EB8" w14:textId="2B232D93" w:rsidR="006554DC" w:rsidRPr="00D37214" w:rsidRDefault="006554DC" w:rsidP="008B0A9C">
            <w:pPr>
              <w:rPr>
                <w:rFonts w:cstheme="minorHAnsi"/>
              </w:rPr>
            </w:pPr>
            <w:r w:rsidRPr="00684102">
              <w:rPr>
                <w:rFonts w:cstheme="minorHAnsi"/>
              </w:rPr>
              <w:t>The project employ</w:t>
            </w:r>
            <w:r w:rsidR="006C46A6" w:rsidRPr="00684102">
              <w:rPr>
                <w:rFonts w:cstheme="minorHAnsi"/>
              </w:rPr>
              <w:t>s</w:t>
            </w:r>
            <w:r w:rsidRPr="00684102">
              <w:rPr>
                <w:rFonts w:cstheme="minorHAnsi"/>
              </w:rPr>
              <w:t xml:space="preserve"> the ACR</w:t>
            </w:r>
            <w:r w:rsidR="00684102" w:rsidRPr="00684102">
              <w:rPr>
                <w:rFonts w:cstheme="minorHAnsi"/>
              </w:rPr>
              <w:t xml:space="preserve"> Standard v6.0</w:t>
            </w:r>
            <w:r w:rsidR="006C46A6">
              <w:rPr>
                <w:rFonts w:cstheme="minorHAnsi"/>
              </w:rPr>
              <w:t xml:space="preserve"> with </w:t>
            </w:r>
            <w:r w:rsidRPr="00D37214">
              <w:rPr>
                <w:rFonts w:cstheme="minorHAnsi"/>
              </w:rPr>
              <w:t>requisite 40-year minimum project term (=commitment to project continuance, monitoring and verification).</w:t>
            </w:r>
            <w:r w:rsidR="008B0A9C">
              <w:rPr>
                <w:rFonts w:cstheme="minorHAnsi"/>
              </w:rPr>
              <w:t xml:space="preserve"> The minimum project term </w:t>
            </w:r>
            <w:r w:rsidR="008B0A9C" w:rsidRPr="008B0A9C">
              <w:rPr>
                <w:rFonts w:cstheme="minorHAnsi"/>
              </w:rPr>
              <w:t xml:space="preserve">begins on the </w:t>
            </w:r>
            <w:r w:rsidR="008B0A9C">
              <w:rPr>
                <w:rFonts w:cstheme="minorHAnsi"/>
              </w:rPr>
              <w:t xml:space="preserve">project start date of </w:t>
            </w:r>
            <w:r w:rsidR="003D0CE2">
              <w:rPr>
                <w:rFonts w:cstheme="minorHAnsi"/>
              </w:rPr>
              <w:t>November 26 2019</w:t>
            </w:r>
            <w:r w:rsidR="008B0A9C">
              <w:rPr>
                <w:rFonts w:cstheme="minorHAnsi"/>
              </w:rPr>
              <w:t>.</w:t>
            </w:r>
          </w:p>
        </w:tc>
      </w:tr>
      <w:tr w:rsidR="006554DC" w:rsidRPr="00E264CD" w14:paraId="72F209A9" w14:textId="77777777" w:rsidTr="00072549">
        <w:tc>
          <w:tcPr>
            <w:tcW w:w="4788" w:type="dxa"/>
          </w:tcPr>
          <w:p w14:paraId="73B7188D" w14:textId="77777777" w:rsidR="006554DC" w:rsidRPr="00D37214" w:rsidRDefault="006554DC" w:rsidP="00072549">
            <w:pPr>
              <w:rPr>
                <w:rFonts w:cstheme="minorHAnsi"/>
              </w:rPr>
            </w:pPr>
            <w:r w:rsidRPr="00D37214">
              <w:rPr>
                <w:rFonts w:cstheme="minorHAnsi"/>
              </w:rPr>
              <w:t>Crediting period</w:t>
            </w:r>
          </w:p>
        </w:tc>
        <w:tc>
          <w:tcPr>
            <w:tcW w:w="4788" w:type="dxa"/>
          </w:tcPr>
          <w:p w14:paraId="5235BF20" w14:textId="4F52D1C0" w:rsidR="006554DC" w:rsidRPr="00D37214" w:rsidRDefault="006554DC" w:rsidP="00072549">
            <w:pPr>
              <w:rPr>
                <w:rFonts w:cstheme="minorHAnsi"/>
              </w:rPr>
            </w:pPr>
            <w:r w:rsidRPr="00684102">
              <w:rPr>
                <w:rFonts w:cstheme="minorHAnsi"/>
              </w:rPr>
              <w:t>The project employ</w:t>
            </w:r>
            <w:r w:rsidR="003A2BD3" w:rsidRPr="00684102">
              <w:rPr>
                <w:rFonts w:cstheme="minorHAnsi"/>
              </w:rPr>
              <w:t>s</w:t>
            </w:r>
            <w:r w:rsidRPr="00684102">
              <w:rPr>
                <w:rFonts w:cstheme="minorHAnsi"/>
              </w:rPr>
              <w:t xml:space="preserve"> the ACR </w:t>
            </w:r>
            <w:r w:rsidR="00684102" w:rsidRPr="00684102">
              <w:rPr>
                <w:rFonts w:cstheme="minorHAnsi"/>
              </w:rPr>
              <w:t>Standard v6.0</w:t>
            </w:r>
            <w:r w:rsidR="003A2BD3">
              <w:rPr>
                <w:rFonts w:cstheme="minorHAnsi"/>
              </w:rPr>
              <w:t xml:space="preserve"> with </w:t>
            </w:r>
            <w:r w:rsidRPr="00D37214">
              <w:rPr>
                <w:rFonts w:cstheme="minorHAnsi"/>
              </w:rPr>
              <w:t>requisite 20-year initial crediting period for IFM projects.</w:t>
            </w:r>
          </w:p>
        </w:tc>
      </w:tr>
      <w:tr w:rsidR="006554DC" w:rsidRPr="00E264CD" w14:paraId="6E6420E8" w14:textId="77777777" w:rsidTr="00072549">
        <w:tc>
          <w:tcPr>
            <w:tcW w:w="4788" w:type="dxa"/>
          </w:tcPr>
          <w:p w14:paraId="4A698CD5" w14:textId="77777777" w:rsidR="006554DC" w:rsidRPr="00D37214" w:rsidRDefault="006554DC" w:rsidP="00072549">
            <w:pPr>
              <w:rPr>
                <w:rFonts w:cstheme="minorHAnsi"/>
              </w:rPr>
            </w:pPr>
            <w:r w:rsidRPr="00D37214">
              <w:rPr>
                <w:rFonts w:cstheme="minorHAnsi"/>
              </w:rPr>
              <w:t>Real</w:t>
            </w:r>
          </w:p>
        </w:tc>
        <w:tc>
          <w:tcPr>
            <w:tcW w:w="4788" w:type="dxa"/>
          </w:tcPr>
          <w:p w14:paraId="4E4CABB5" w14:textId="77777777" w:rsidR="006554DC" w:rsidRPr="00D37214" w:rsidRDefault="006554DC" w:rsidP="00072549">
            <w:pPr>
              <w:rPr>
                <w:rFonts w:cstheme="minorHAnsi"/>
              </w:rPr>
            </w:pPr>
            <w:r w:rsidRPr="00D37214">
              <w:rPr>
                <w:rFonts w:cstheme="minorHAnsi"/>
              </w:rPr>
              <w:t>The project will seek issuance of ex post credits, and not issuance of ex ante credits.</w:t>
            </w:r>
          </w:p>
        </w:tc>
      </w:tr>
      <w:tr w:rsidR="006554DC" w:rsidRPr="00E264CD" w14:paraId="04BA1CF3" w14:textId="77777777" w:rsidTr="00072549">
        <w:tc>
          <w:tcPr>
            <w:tcW w:w="4788" w:type="dxa"/>
          </w:tcPr>
          <w:p w14:paraId="124F628A" w14:textId="77777777" w:rsidR="006554DC" w:rsidRPr="00D37214" w:rsidRDefault="006554DC" w:rsidP="00072549">
            <w:pPr>
              <w:rPr>
                <w:rFonts w:cstheme="minorHAnsi"/>
              </w:rPr>
            </w:pPr>
            <w:r w:rsidRPr="00D37214">
              <w:rPr>
                <w:rFonts w:cstheme="minorHAnsi"/>
              </w:rPr>
              <w:t>Direct emissions/Offset title/Land title</w:t>
            </w:r>
          </w:p>
        </w:tc>
        <w:tc>
          <w:tcPr>
            <w:tcW w:w="4788" w:type="dxa"/>
          </w:tcPr>
          <w:p w14:paraId="0A83FE29" w14:textId="608CA8BC" w:rsidR="00B00803" w:rsidRPr="00D37214" w:rsidRDefault="00B00803" w:rsidP="00072549">
            <w:pPr>
              <w:rPr>
                <w:rFonts w:cstheme="minorHAnsi"/>
              </w:rPr>
            </w:pPr>
            <w:r>
              <w:t xml:space="preserve">GHG emission reductions generated by the project activity are generated from forest carbon sources and sinks over which </w:t>
            </w:r>
            <w:r w:rsidR="003D0CE2">
              <w:t xml:space="preserve">UT </w:t>
            </w:r>
            <w:r>
              <w:t xml:space="preserve">has all management and ownership rights. </w:t>
            </w:r>
            <w:r w:rsidR="003D0CE2">
              <w:t xml:space="preserve">UT </w:t>
            </w:r>
            <w:r>
              <w:t>holds title to the project area (see Section G)</w:t>
            </w:r>
          </w:p>
        </w:tc>
      </w:tr>
      <w:tr w:rsidR="006554DC" w:rsidRPr="00E264CD" w14:paraId="0E2BD567" w14:textId="77777777" w:rsidTr="00072549">
        <w:tc>
          <w:tcPr>
            <w:tcW w:w="4788" w:type="dxa"/>
          </w:tcPr>
          <w:p w14:paraId="72F556A3" w14:textId="77777777" w:rsidR="006554DC" w:rsidRPr="00D37214" w:rsidRDefault="006554DC" w:rsidP="00072549">
            <w:pPr>
              <w:rPr>
                <w:rFonts w:cstheme="minorHAnsi"/>
              </w:rPr>
            </w:pPr>
            <w:r w:rsidRPr="00D37214">
              <w:rPr>
                <w:rFonts w:cstheme="minorHAnsi"/>
              </w:rPr>
              <w:t>Additional</w:t>
            </w:r>
          </w:p>
        </w:tc>
        <w:tc>
          <w:tcPr>
            <w:tcW w:w="4788" w:type="dxa"/>
          </w:tcPr>
          <w:p w14:paraId="3A168CFF" w14:textId="7984A6BD" w:rsidR="006554DC" w:rsidRPr="00D37214" w:rsidRDefault="006554DC" w:rsidP="00072549">
            <w:pPr>
              <w:rPr>
                <w:rFonts w:cstheme="minorHAnsi"/>
              </w:rPr>
            </w:pPr>
            <w:r w:rsidRPr="00D37214">
              <w:rPr>
                <w:rFonts w:cstheme="minorHAnsi"/>
              </w:rPr>
              <w:t xml:space="preserve">Additionality </w:t>
            </w:r>
            <w:r w:rsidR="003A2BD3">
              <w:rPr>
                <w:rFonts w:cstheme="minorHAnsi"/>
              </w:rPr>
              <w:t xml:space="preserve">is </w:t>
            </w:r>
            <w:r w:rsidRPr="00D37214">
              <w:rPr>
                <w:rFonts w:cstheme="minorHAnsi"/>
              </w:rPr>
              <w:t xml:space="preserve">demonstrated using the ACR Standard Three-Prong Additionality Test, demonstrating that the project activity is regulatory surplus, exceeds common practice, and faces either financial, technological or institutional barriers to implementation. </w:t>
            </w:r>
            <w:r w:rsidR="003A2BD3">
              <w:rPr>
                <w:rFonts w:cstheme="minorHAnsi"/>
              </w:rPr>
              <w:t>See Section C.</w:t>
            </w:r>
          </w:p>
        </w:tc>
      </w:tr>
      <w:tr w:rsidR="006554DC" w:rsidRPr="00E264CD" w14:paraId="1685AB89" w14:textId="77777777" w:rsidTr="00072549">
        <w:tc>
          <w:tcPr>
            <w:tcW w:w="4788" w:type="dxa"/>
          </w:tcPr>
          <w:p w14:paraId="42A67DD3" w14:textId="77777777" w:rsidR="006554DC" w:rsidRPr="00D37214" w:rsidRDefault="006554DC" w:rsidP="00072549">
            <w:pPr>
              <w:rPr>
                <w:rFonts w:cstheme="minorHAnsi"/>
              </w:rPr>
            </w:pPr>
            <w:r w:rsidRPr="00D37214">
              <w:rPr>
                <w:rFonts w:cstheme="minorHAnsi"/>
              </w:rPr>
              <w:t>Permanent</w:t>
            </w:r>
          </w:p>
        </w:tc>
        <w:tc>
          <w:tcPr>
            <w:tcW w:w="4788" w:type="dxa"/>
          </w:tcPr>
          <w:p w14:paraId="0835E458" w14:textId="2CF84C51" w:rsidR="006554DC" w:rsidRPr="00D37214" w:rsidRDefault="006554DC" w:rsidP="00072549">
            <w:pPr>
              <w:rPr>
                <w:rFonts w:cstheme="minorHAnsi"/>
              </w:rPr>
            </w:pPr>
            <w:r w:rsidRPr="00D37214">
              <w:rPr>
                <w:rFonts w:cstheme="minorHAnsi"/>
              </w:rPr>
              <w:t xml:space="preserve">Permanence </w:t>
            </w:r>
            <w:r w:rsidR="003A2BD3">
              <w:rPr>
                <w:rFonts w:cstheme="minorHAnsi"/>
              </w:rPr>
              <w:t xml:space="preserve">is </w:t>
            </w:r>
            <w:r w:rsidRPr="00D37214">
              <w:rPr>
                <w:rFonts w:cstheme="minorHAnsi"/>
              </w:rPr>
              <w:t xml:space="preserve">addressed by the project through ongoing assessment of risk using the </w:t>
            </w:r>
            <w:r w:rsidR="003A2BD3">
              <w:rPr>
                <w:rFonts w:cstheme="minorHAnsi"/>
              </w:rPr>
              <w:t>ACR Risk Tool and contributions</w:t>
            </w:r>
            <w:r w:rsidRPr="00D37214">
              <w:rPr>
                <w:rFonts w:cstheme="minorHAnsi"/>
              </w:rPr>
              <w:t xml:space="preserve"> to the ACR buffer pool.</w:t>
            </w:r>
          </w:p>
        </w:tc>
      </w:tr>
      <w:tr w:rsidR="006554DC" w:rsidRPr="00E264CD" w14:paraId="3CAB1096" w14:textId="77777777" w:rsidTr="00072549">
        <w:tc>
          <w:tcPr>
            <w:tcW w:w="4788" w:type="dxa"/>
          </w:tcPr>
          <w:p w14:paraId="211256A7" w14:textId="77777777" w:rsidR="006554DC" w:rsidRPr="00D37214" w:rsidRDefault="006554DC" w:rsidP="00072549">
            <w:pPr>
              <w:rPr>
                <w:rFonts w:cstheme="minorHAnsi"/>
              </w:rPr>
            </w:pPr>
            <w:r w:rsidRPr="00D37214">
              <w:rPr>
                <w:rFonts w:cstheme="minorHAnsi"/>
              </w:rPr>
              <w:t>Net of leakage</w:t>
            </w:r>
          </w:p>
        </w:tc>
        <w:tc>
          <w:tcPr>
            <w:tcW w:w="4788" w:type="dxa"/>
          </w:tcPr>
          <w:p w14:paraId="5792FAC4" w14:textId="5148CE3D" w:rsidR="006554DC" w:rsidRPr="00D37214" w:rsidRDefault="006554DC" w:rsidP="00072549">
            <w:pPr>
              <w:rPr>
                <w:rFonts w:cstheme="minorHAnsi"/>
              </w:rPr>
            </w:pPr>
            <w:r w:rsidRPr="00D37214">
              <w:rPr>
                <w:rFonts w:cstheme="minorHAnsi"/>
              </w:rPr>
              <w:t>Leakage is accounted for applying the methodology.</w:t>
            </w:r>
            <w:r w:rsidR="003A2BD3">
              <w:rPr>
                <w:rFonts w:cstheme="minorHAnsi"/>
              </w:rPr>
              <w:t xml:space="preserve"> See Section E3.</w:t>
            </w:r>
          </w:p>
        </w:tc>
      </w:tr>
      <w:tr w:rsidR="006554DC" w:rsidRPr="00E264CD" w14:paraId="384539D2" w14:textId="77777777" w:rsidTr="00072549">
        <w:tc>
          <w:tcPr>
            <w:tcW w:w="4788" w:type="dxa"/>
          </w:tcPr>
          <w:p w14:paraId="09A82D1A" w14:textId="77777777" w:rsidR="006554DC" w:rsidRPr="00D37214" w:rsidRDefault="006554DC" w:rsidP="00072549">
            <w:pPr>
              <w:rPr>
                <w:rFonts w:cstheme="minorHAnsi"/>
              </w:rPr>
            </w:pPr>
            <w:r w:rsidRPr="00D37214">
              <w:rPr>
                <w:rFonts w:cstheme="minorHAnsi"/>
              </w:rPr>
              <w:t>Independently validated and verified</w:t>
            </w:r>
          </w:p>
        </w:tc>
        <w:tc>
          <w:tcPr>
            <w:tcW w:w="4788" w:type="dxa"/>
          </w:tcPr>
          <w:p w14:paraId="13D6F36C" w14:textId="77777777" w:rsidR="006554DC" w:rsidRPr="00D37214" w:rsidRDefault="006554DC" w:rsidP="00072549">
            <w:pPr>
              <w:rPr>
                <w:rFonts w:cstheme="minorHAnsi"/>
              </w:rPr>
            </w:pPr>
            <w:r w:rsidRPr="00D37214">
              <w:rPr>
                <w:rFonts w:cstheme="minorHAnsi"/>
              </w:rPr>
              <w:t>The project will be submitted for independent validation and verification.</w:t>
            </w:r>
          </w:p>
        </w:tc>
      </w:tr>
      <w:tr w:rsidR="006554DC" w:rsidRPr="00E264CD" w14:paraId="263697C0" w14:textId="77777777" w:rsidTr="00072549">
        <w:tc>
          <w:tcPr>
            <w:tcW w:w="4788" w:type="dxa"/>
          </w:tcPr>
          <w:p w14:paraId="52C800FC" w14:textId="77777777" w:rsidR="006554DC" w:rsidRPr="00D37214" w:rsidRDefault="006554DC" w:rsidP="00072549">
            <w:pPr>
              <w:rPr>
                <w:rFonts w:cstheme="minorHAnsi"/>
              </w:rPr>
            </w:pPr>
            <w:r w:rsidRPr="00D37214">
              <w:rPr>
                <w:rFonts w:cstheme="minorHAnsi"/>
              </w:rPr>
              <w:t>Community and environmental impacts</w:t>
            </w:r>
          </w:p>
        </w:tc>
        <w:tc>
          <w:tcPr>
            <w:tcW w:w="4788" w:type="dxa"/>
          </w:tcPr>
          <w:p w14:paraId="5DDA9943" w14:textId="35F57A09" w:rsidR="006554DC" w:rsidRPr="00D37214" w:rsidRDefault="006554DC" w:rsidP="00072549">
            <w:pPr>
              <w:rPr>
                <w:rFonts w:cstheme="minorHAnsi"/>
              </w:rPr>
            </w:pPr>
            <w:r w:rsidRPr="00D37214">
              <w:rPr>
                <w:rFonts w:cstheme="minorHAnsi"/>
              </w:rPr>
              <w:t xml:space="preserve">Net positive community and environmental impacts </w:t>
            </w:r>
            <w:r w:rsidR="003A2BD3">
              <w:rPr>
                <w:rFonts w:cstheme="minorHAnsi"/>
              </w:rPr>
              <w:t xml:space="preserve">are </w:t>
            </w:r>
            <w:r w:rsidRPr="00D37214">
              <w:rPr>
                <w:rFonts w:cstheme="minorHAnsi"/>
              </w:rPr>
              <w:t>demonstrated.</w:t>
            </w:r>
            <w:r w:rsidR="003A2BD3">
              <w:rPr>
                <w:rFonts w:cstheme="minorHAnsi"/>
              </w:rPr>
              <w:t xml:space="preserve"> See Section F.</w:t>
            </w:r>
          </w:p>
        </w:tc>
      </w:tr>
      <w:tr w:rsidR="006554DC" w:rsidRPr="00E264CD" w14:paraId="6E735C3A" w14:textId="77777777" w:rsidTr="00072549">
        <w:tc>
          <w:tcPr>
            <w:tcW w:w="4788" w:type="dxa"/>
          </w:tcPr>
          <w:p w14:paraId="1768769F" w14:textId="77777777" w:rsidR="006554DC" w:rsidRPr="00D37214" w:rsidRDefault="006554DC" w:rsidP="00072549">
            <w:pPr>
              <w:rPr>
                <w:rFonts w:cstheme="minorHAnsi"/>
              </w:rPr>
            </w:pPr>
            <w:r w:rsidRPr="00D37214">
              <w:rPr>
                <w:rFonts w:cstheme="minorHAnsi"/>
              </w:rPr>
              <w:t>Forest definition</w:t>
            </w:r>
          </w:p>
        </w:tc>
        <w:tc>
          <w:tcPr>
            <w:tcW w:w="4788" w:type="dxa"/>
          </w:tcPr>
          <w:p w14:paraId="1D9B6B62" w14:textId="25AF2475" w:rsidR="006554DC" w:rsidRPr="00D37214" w:rsidRDefault="008372F4" w:rsidP="00072549">
            <w:pPr>
              <w:rPr>
                <w:rFonts w:cstheme="minorHAnsi"/>
              </w:rPr>
            </w:pPr>
            <w:r>
              <w:t>All a</w:t>
            </w:r>
            <w:r w:rsidRPr="000531F1">
              <w:t>reas qualify as “forestland” per the methodology</w:t>
            </w:r>
            <w:r>
              <w:t xml:space="preserve"> (</w:t>
            </w:r>
            <w:hyperlink r:id="rId16" w:tooltip="IFM methodology for non-federal US forestlands published" w:history="1">
              <w:r>
                <w:t>I</w:t>
              </w:r>
              <w:r w:rsidRPr="00A42610">
                <w:t>mproved Forest Management Methodology for Quantifying GHG Removals and Emission Reductions through Increased Forest Carbon Sequestration on Non-Federal U.S. Forestlands</w:t>
              </w:r>
            </w:hyperlink>
            <w:r>
              <w:t xml:space="preserve"> v1.3)</w:t>
            </w:r>
            <w:r w:rsidRPr="000531F1">
              <w:t xml:space="preserve"> definition of &gt;10% stocking, or roughly around &gt;8ft^2/acre basal area in trees &gt;5” dbh</w:t>
            </w:r>
            <w:r>
              <w:t>.</w:t>
            </w:r>
          </w:p>
        </w:tc>
      </w:tr>
      <w:tr w:rsidR="006554DC" w:rsidRPr="00E264CD" w14:paraId="6F955CA0" w14:textId="77777777" w:rsidTr="00072549">
        <w:tc>
          <w:tcPr>
            <w:tcW w:w="4788" w:type="dxa"/>
          </w:tcPr>
          <w:p w14:paraId="5AA5FDCD" w14:textId="77777777" w:rsidR="006554DC" w:rsidRPr="00D37214" w:rsidRDefault="006554DC" w:rsidP="00072549">
            <w:pPr>
              <w:rPr>
                <w:rFonts w:cstheme="minorHAnsi"/>
              </w:rPr>
            </w:pPr>
            <w:r w:rsidRPr="00D37214">
              <w:rPr>
                <w:rFonts w:cstheme="minorHAnsi"/>
              </w:rPr>
              <w:t>Eligible landownership type</w:t>
            </w:r>
          </w:p>
        </w:tc>
        <w:tc>
          <w:tcPr>
            <w:tcW w:w="4788" w:type="dxa"/>
          </w:tcPr>
          <w:p w14:paraId="2D068E7F" w14:textId="4CBE22A2" w:rsidR="006554DC" w:rsidRPr="00D37214" w:rsidRDefault="006554DC" w:rsidP="00072549">
            <w:pPr>
              <w:rPr>
                <w:rFonts w:cstheme="minorHAnsi"/>
              </w:rPr>
            </w:pPr>
            <w:r w:rsidRPr="00D37214">
              <w:rPr>
                <w:rFonts w:cstheme="minorHAnsi"/>
              </w:rPr>
              <w:t xml:space="preserve">All landownership types, including private non-profits as in the case of this project, are eligible per the ACR </w:t>
            </w:r>
            <w:r w:rsidR="0084056C">
              <w:rPr>
                <w:rFonts w:cstheme="minorHAnsi"/>
              </w:rPr>
              <w:t>Standard v</w:t>
            </w:r>
            <w:r w:rsidR="00A339E1">
              <w:rPr>
                <w:rFonts w:cstheme="minorHAnsi"/>
              </w:rPr>
              <w:t>6.0</w:t>
            </w:r>
          </w:p>
        </w:tc>
      </w:tr>
    </w:tbl>
    <w:p w14:paraId="71C708D7" w14:textId="60728B45" w:rsidR="006554DC" w:rsidRDefault="006554DC" w:rsidP="009656CA"/>
    <w:p w14:paraId="2555C2DD" w14:textId="4161B3DC" w:rsidR="006554DC" w:rsidRDefault="00AE7309" w:rsidP="009656CA">
      <w:r>
        <w:t xml:space="preserve">As of the start date, there is currently no intent </w:t>
      </w:r>
      <w:r w:rsidRPr="00AE7309">
        <w:t xml:space="preserve">to </w:t>
      </w:r>
      <w:r>
        <w:t>seek registration of</w:t>
      </w:r>
      <w:r w:rsidRPr="00AE7309">
        <w:t xml:space="preserve"> non-carbon environmental attributes </w:t>
      </w:r>
      <w:r>
        <w:t>from the project</w:t>
      </w:r>
      <w:r w:rsidRPr="00AE7309">
        <w:t>.</w:t>
      </w:r>
    </w:p>
    <w:p w14:paraId="60836FDF" w14:textId="77777777" w:rsidR="00473B08" w:rsidRDefault="00473B08" w:rsidP="00757CAA">
      <w:pPr>
        <w:pStyle w:val="Heading2"/>
      </w:pPr>
      <w:bookmarkStart w:id="6" w:name="_Toc2243484"/>
    </w:p>
    <w:p w14:paraId="4EC920E6" w14:textId="26172216" w:rsidR="00A31B01" w:rsidRDefault="00091661" w:rsidP="00757CAA">
      <w:pPr>
        <w:pStyle w:val="Heading2"/>
      </w:pPr>
      <w:r>
        <w:t>A4</w:t>
      </w:r>
      <w:r w:rsidR="00A31B01">
        <w:t>.</w:t>
      </w:r>
      <w:r w:rsidR="00C31D60">
        <w:t xml:space="preserve"> LOCATION</w:t>
      </w:r>
      <w:bookmarkEnd w:id="6"/>
      <w:r w:rsidR="00B6514F">
        <w:t xml:space="preserve"> AND PHYSICAL CONDITIONS</w:t>
      </w:r>
    </w:p>
    <w:p w14:paraId="14FFF465" w14:textId="77777777" w:rsidR="00A31B01" w:rsidRPr="00B83E9D" w:rsidRDefault="00A31B01" w:rsidP="009656CA">
      <w:pPr>
        <w:rPr>
          <w:rFonts w:cstheme="minorHAnsi"/>
          <w:color w:val="0D0D0D" w:themeColor="text1" w:themeTint="F2"/>
        </w:rPr>
      </w:pPr>
    </w:p>
    <w:p w14:paraId="302D7B08" w14:textId="5F4E580A" w:rsidR="00E31BA5" w:rsidRDefault="00AD09EC" w:rsidP="00E31BA5">
      <w:r w:rsidRPr="00CB3FE6">
        <w:t xml:space="preserve">The project property is </w:t>
      </w:r>
      <w:r w:rsidR="00721E17" w:rsidRPr="00CB3FE6">
        <w:t xml:space="preserve">located in </w:t>
      </w:r>
      <w:r w:rsidRPr="00CB3FE6">
        <w:t xml:space="preserve">the state of </w:t>
      </w:r>
      <w:r w:rsidR="0084056C" w:rsidRPr="00CB3FE6">
        <w:t>Tennessee</w:t>
      </w:r>
      <w:r w:rsidRPr="00CB3FE6">
        <w:t xml:space="preserve">, </w:t>
      </w:r>
      <w:r w:rsidR="00721E17" w:rsidRPr="00CB3FE6">
        <w:t xml:space="preserve">in </w:t>
      </w:r>
      <w:r w:rsidR="009405BF">
        <w:t xml:space="preserve">Anderson, Franklin, Morgan and Scott </w:t>
      </w:r>
      <w:r w:rsidR="003D0CE2" w:rsidRPr="00CB3FE6">
        <w:t>Counties</w:t>
      </w:r>
      <w:r w:rsidRPr="00CB3FE6">
        <w:t xml:space="preserve">. </w:t>
      </w:r>
      <w:r w:rsidR="00532FB0" w:rsidRPr="00CB3FE6">
        <w:t>A s</w:t>
      </w:r>
      <w:r w:rsidR="00DB5CBB" w:rsidRPr="00CB3FE6">
        <w:t>hapefile of the project area is archived in the project database</w:t>
      </w:r>
      <w:r w:rsidR="00CA76C1" w:rsidRPr="00CB3FE6">
        <w:t xml:space="preserve"> (“</w:t>
      </w:r>
      <w:r w:rsidR="003D0CE2" w:rsidRPr="00CB3FE6">
        <w:t>UTK_Strata_</w:t>
      </w:r>
      <w:r w:rsidR="007B126E">
        <w:t>*</w:t>
      </w:r>
      <w:r w:rsidR="00AA3713" w:rsidRPr="00CB3FE6">
        <w:t>.shp</w:t>
      </w:r>
      <w:r w:rsidR="00AA3713" w:rsidRPr="00CB3FE6" w:rsidDel="00E83F25">
        <w:t xml:space="preserve"> </w:t>
      </w:r>
      <w:r w:rsidR="00CA76C1" w:rsidRPr="00CB3FE6">
        <w:t>”)</w:t>
      </w:r>
      <w:r w:rsidR="00D57A58" w:rsidRPr="00CB3FE6">
        <w:t>, and illustrated in Figure A</w:t>
      </w:r>
      <w:r w:rsidR="00DB5CBB" w:rsidRPr="00CB3FE6">
        <w:t>.</w:t>
      </w:r>
      <w:r w:rsidR="00A74CCD" w:rsidRPr="00CB3FE6">
        <w:t xml:space="preserve"> </w:t>
      </w:r>
      <w:r w:rsidR="003D0CE2" w:rsidRPr="00CB3FE6">
        <w:t xml:space="preserve">Central point </w:t>
      </w:r>
      <w:r w:rsidR="00197F4C" w:rsidRPr="00CB3FE6">
        <w:t>Latitude, longitude</w:t>
      </w:r>
      <w:r w:rsidR="00E31BA5" w:rsidRPr="00CB3FE6">
        <w:t>: 35.</w:t>
      </w:r>
      <w:r w:rsidR="00CB3FE6" w:rsidRPr="00CB3FE6">
        <w:t>994112, -84</w:t>
      </w:r>
      <w:r w:rsidR="00E31BA5" w:rsidRPr="00CB3FE6">
        <w:t>.</w:t>
      </w:r>
      <w:r w:rsidR="00CB3FE6" w:rsidRPr="00CB3FE6">
        <w:t>216838</w:t>
      </w:r>
      <w:r w:rsidR="00197F4C" w:rsidRPr="00CB3FE6">
        <w:t>.</w:t>
      </w:r>
    </w:p>
    <w:p w14:paraId="3A4F7C31" w14:textId="0B0514F6" w:rsidR="00AD09EC" w:rsidRDefault="00AD09EC" w:rsidP="00AD09EC"/>
    <w:p w14:paraId="165C31CE" w14:textId="7A8A5A4A" w:rsidR="004E0EB5" w:rsidRPr="00AD09EC" w:rsidRDefault="00E44279" w:rsidP="00E23496">
      <w:bookmarkStart w:id="7" w:name="_Hlk54876738"/>
      <w:r>
        <w:rPr>
          <w:noProof/>
        </w:rPr>
        <w:drawing>
          <wp:inline distT="0" distB="0" distL="0" distR="0" wp14:anchorId="28B6B5D5" wp14:editId="54D262B0">
            <wp:extent cx="5943600" cy="44551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T_StrataMap8-26-20.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43600" cy="4455160"/>
                    </a:xfrm>
                    <a:prstGeom prst="rect">
                      <a:avLst/>
                    </a:prstGeom>
                  </pic:spPr>
                </pic:pic>
              </a:graphicData>
            </a:graphic>
          </wp:inline>
        </w:drawing>
      </w:r>
    </w:p>
    <w:p w14:paraId="69EF62AE" w14:textId="5D8A916B" w:rsidR="00D57A58" w:rsidRDefault="006B79E4" w:rsidP="00D57A58">
      <w:pPr>
        <w:pStyle w:val="Header"/>
        <w:rPr>
          <w:b/>
          <w:bCs/>
        </w:rPr>
      </w:pPr>
      <w:r>
        <w:rPr>
          <w:b/>
        </w:rPr>
        <w:t>Figure A</w:t>
      </w:r>
      <w:r w:rsidR="00D57A58" w:rsidRPr="00D57A58">
        <w:rPr>
          <w:b/>
        </w:rPr>
        <w:t xml:space="preserve">. </w:t>
      </w:r>
      <w:r w:rsidR="003D0CE2">
        <w:rPr>
          <w:b/>
        </w:rPr>
        <w:t xml:space="preserve">University of Tennessee </w:t>
      </w:r>
      <w:r w:rsidR="00DC2482">
        <w:rPr>
          <w:b/>
          <w:bCs/>
        </w:rPr>
        <w:t xml:space="preserve">Improved Forest Management </w:t>
      </w:r>
      <w:r w:rsidR="00D57A58" w:rsidRPr="00D57A58">
        <w:rPr>
          <w:b/>
          <w:bCs/>
        </w:rPr>
        <w:t>Project</w:t>
      </w:r>
      <w:r w:rsidR="00D57A58">
        <w:rPr>
          <w:b/>
          <w:bCs/>
        </w:rPr>
        <w:t xml:space="preserve"> area.</w:t>
      </w:r>
    </w:p>
    <w:bookmarkEnd w:id="7"/>
    <w:p w14:paraId="395CF72E" w14:textId="0C6ED147" w:rsidR="006944E9" w:rsidRDefault="006944E9" w:rsidP="00D57A58">
      <w:pPr>
        <w:pStyle w:val="Header"/>
        <w:rPr>
          <w:b/>
          <w:bCs/>
        </w:rPr>
      </w:pPr>
    </w:p>
    <w:p w14:paraId="4A3DC401" w14:textId="24D74295" w:rsidR="00BD2119" w:rsidRDefault="00B6514F" w:rsidP="00D57A58">
      <w:pPr>
        <w:pStyle w:val="Header"/>
      </w:pPr>
      <w:r w:rsidRPr="000D69A4">
        <w:t>Physical</w:t>
      </w:r>
      <w:r>
        <w:t xml:space="preserve"> conditions </w:t>
      </w:r>
      <w:r w:rsidR="008E459E">
        <w:t xml:space="preserve">of the project area </w:t>
      </w:r>
      <w:r>
        <w:t>prior to project initiation</w:t>
      </w:r>
      <w:r w:rsidR="008E459E">
        <w:t xml:space="preserve"> are summarized below,</w:t>
      </w:r>
      <w:r>
        <w:t xml:space="preserve"> and further detailed in the forest management plan “</w:t>
      </w:r>
      <w:r w:rsidRPr="00B6514F">
        <w:t>UTIA_FMP_Sections_1_9_TC</w:t>
      </w:r>
      <w:r w:rsidR="008E459E">
        <w:t>*</w:t>
      </w:r>
      <w:r>
        <w:t>”</w:t>
      </w:r>
    </w:p>
    <w:p w14:paraId="42189D35" w14:textId="4553E0E8" w:rsidR="00B6514F" w:rsidRDefault="00B6514F" w:rsidP="00D57A58">
      <w:pPr>
        <w:pStyle w:val="Header"/>
      </w:pPr>
    </w:p>
    <w:p w14:paraId="2D1CE6F3" w14:textId="2699EB04" w:rsidR="00B6514F" w:rsidRPr="001C11D1" w:rsidRDefault="00B6514F" w:rsidP="00B6514F">
      <w:pPr>
        <w:jc w:val="both"/>
      </w:pPr>
      <w:r>
        <w:t xml:space="preserve">The </w:t>
      </w:r>
      <w:r w:rsidR="008E459E">
        <w:t xml:space="preserve">project area </w:t>
      </w:r>
      <w:r>
        <w:t>is located within the greater Appalachian Highlands Region.</w:t>
      </w:r>
      <w:r w:rsidR="008E459E">
        <w:t xml:space="preserve"> </w:t>
      </w:r>
      <w:r w:rsidRPr="008738BD">
        <w:t xml:space="preserve">Much of the soils on the </w:t>
      </w:r>
      <w:r w:rsidR="008E459E">
        <w:t xml:space="preserve">project area </w:t>
      </w:r>
      <w:r w:rsidRPr="008738BD">
        <w:t>are typical of those found on ridges and plateaus and in valleys.</w:t>
      </w:r>
      <w:r w:rsidR="008E459E">
        <w:t xml:space="preserve"> </w:t>
      </w:r>
      <w:r w:rsidRPr="008738BD">
        <w:t>Parent materials include sandstone over residuum weathered from shale and siltstone and residuum weathered from limestone.</w:t>
      </w:r>
      <w:r w:rsidRPr="001C11D1">
        <w:t xml:space="preserve"> </w:t>
      </w:r>
    </w:p>
    <w:p w14:paraId="3B0C26B4" w14:textId="7E90A00F" w:rsidR="00B6514F" w:rsidRDefault="008E459E" w:rsidP="00B6514F">
      <w:pPr>
        <w:jc w:val="both"/>
      </w:pPr>
      <w:r>
        <w:t xml:space="preserve">Forests in the project area had historically been subject to timber harvest, including </w:t>
      </w:r>
      <w:r w:rsidR="00B6514F">
        <w:t>high grading</w:t>
      </w:r>
      <w:r>
        <w:t xml:space="preserve"> in some places. </w:t>
      </w:r>
      <w:r w:rsidR="00B6514F">
        <w:t xml:space="preserve">Additionally, past home sites and forest stands resulting from cleared agricultural fields are present on the </w:t>
      </w:r>
      <w:r>
        <w:t>project area</w:t>
      </w:r>
      <w:r w:rsidR="00B6514F">
        <w:t xml:space="preserve">.  </w:t>
      </w:r>
    </w:p>
    <w:p w14:paraId="3DB459A8" w14:textId="381F0258" w:rsidR="00B6514F" w:rsidRDefault="00B6514F" w:rsidP="00B6514F">
      <w:pPr>
        <w:jc w:val="both"/>
      </w:pPr>
      <w:r>
        <w:t>The forests are typical of the region with respect to both their species composition and structure.  Forest stands are generally mid- to late successional and species composition trending more toward shade tolerant species, such as maple (</w:t>
      </w:r>
      <w:r w:rsidRPr="00C65FFB">
        <w:rPr>
          <w:i/>
        </w:rPr>
        <w:t>Acer</w:t>
      </w:r>
      <w:r>
        <w:t xml:space="preserve"> spp.). There are relatively few early successional habitat types found on the </w:t>
      </w:r>
      <w:r w:rsidR="008E459E">
        <w:t>project area</w:t>
      </w:r>
      <w:r>
        <w:t xml:space="preserve">.  Natural regeneration of hardwoods has been the primary method of regeneration after timber harvests and natural disturbances. </w:t>
      </w:r>
    </w:p>
    <w:p w14:paraId="06BBD7B1" w14:textId="77777777" w:rsidR="00B6514F" w:rsidRDefault="00B6514F" w:rsidP="00D57A58">
      <w:pPr>
        <w:pStyle w:val="Header"/>
      </w:pPr>
    </w:p>
    <w:p w14:paraId="2B882ADF" w14:textId="77777777" w:rsidR="00B6514F" w:rsidRPr="000D69A4" w:rsidRDefault="00B6514F" w:rsidP="00D57A58">
      <w:pPr>
        <w:pStyle w:val="Header"/>
      </w:pPr>
    </w:p>
    <w:p w14:paraId="0FE29F5D" w14:textId="0ABA3345" w:rsidR="009B54E9" w:rsidRDefault="009B54E9" w:rsidP="00D57A58">
      <w:pPr>
        <w:pStyle w:val="Header"/>
        <w:rPr>
          <w:b/>
        </w:rPr>
      </w:pPr>
    </w:p>
    <w:p w14:paraId="1FA9ABEB" w14:textId="77777777" w:rsidR="00AD09EC" w:rsidRPr="00AD09EC" w:rsidRDefault="00AD09EC" w:rsidP="009656CA"/>
    <w:p w14:paraId="4B350FC4" w14:textId="77777777" w:rsidR="000D5064" w:rsidRDefault="00546796" w:rsidP="00757CAA">
      <w:pPr>
        <w:pStyle w:val="Heading2"/>
      </w:pPr>
      <w:bookmarkStart w:id="8" w:name="_Toc2243485"/>
      <w:r>
        <w:t>A</w:t>
      </w:r>
      <w:r w:rsidR="00091661">
        <w:t>5</w:t>
      </w:r>
      <w:r>
        <w:t xml:space="preserve">. </w:t>
      </w:r>
      <w:r w:rsidR="00757CAA">
        <w:t>BRI</w:t>
      </w:r>
      <w:r w:rsidR="005F7E7D">
        <w:t>EF SUMMARY</w:t>
      </w:r>
      <w:r w:rsidR="00757CAA">
        <w:t xml:space="preserve"> OF PROJECT</w:t>
      </w:r>
      <w:bookmarkEnd w:id="8"/>
    </w:p>
    <w:p w14:paraId="4DAAB149" w14:textId="77777777" w:rsidR="001131AC" w:rsidRDefault="001131AC" w:rsidP="009D3D18"/>
    <w:p w14:paraId="5616A6FB" w14:textId="73A6AE04" w:rsidR="009405BF" w:rsidRDefault="0040518D" w:rsidP="009405BF">
      <w:pPr>
        <w:suppressAutoHyphens/>
        <w:ind w:left="720"/>
      </w:pPr>
      <w:r w:rsidRPr="00D36518">
        <w:t xml:space="preserve">On </w:t>
      </w:r>
      <w:r w:rsidR="00522C1A">
        <w:t>November 26 2019</w:t>
      </w:r>
      <w:r w:rsidRPr="00D36518">
        <w:t>,</w:t>
      </w:r>
      <w:r w:rsidR="00DB01FF" w:rsidRPr="00D36518">
        <w:t xml:space="preserve"> </w:t>
      </w:r>
      <w:r w:rsidR="00522C1A">
        <w:t>UT and TNC signed an agreement to develop forested properties owned and managed by UT</w:t>
      </w:r>
      <w:r w:rsidR="009405BF">
        <w:t xml:space="preserve"> </w:t>
      </w:r>
      <w:r w:rsidR="00384F14" w:rsidRPr="00215521">
        <w:t>University of Tennessee (UT) Forest Resources AgResearch and Education Center (FRREC)</w:t>
      </w:r>
      <w:r w:rsidR="00522C1A">
        <w:t xml:space="preserve">as a climate mitigation project, to be registered under the American Carbon Registry (ACR). </w:t>
      </w:r>
    </w:p>
    <w:p w14:paraId="2758446F" w14:textId="53FE8D6B" w:rsidR="00384F14" w:rsidRPr="00384F14" w:rsidRDefault="00384F14" w:rsidP="00384F14">
      <w:pPr>
        <w:suppressAutoHyphens/>
        <w:ind w:left="720"/>
      </w:pPr>
      <w:r w:rsidRPr="00384F14">
        <w:t xml:space="preserve">The UT Forest Resources AgResearch and Education Center is comprised of </w:t>
      </w:r>
      <w:r w:rsidR="002008B7">
        <w:t>approximately</w:t>
      </w:r>
      <w:r w:rsidR="006B79E4">
        <w:t xml:space="preserve"> 11,425</w:t>
      </w:r>
      <w:r w:rsidR="004233D2">
        <w:t xml:space="preserve"> </w:t>
      </w:r>
      <w:r w:rsidRPr="00384F14">
        <w:t xml:space="preserve">non-contiguous acres of real property spanning the four counties of Anderson, Franklin, Morgan, and Scott in central and eastern Tennessee.  </w:t>
      </w:r>
      <w:r w:rsidRPr="005456C3">
        <w:t>11,</w:t>
      </w:r>
      <w:r w:rsidR="00B30B90">
        <w:t>3</w:t>
      </w:r>
      <w:r w:rsidR="00F67F67">
        <w:t>6</w:t>
      </w:r>
      <w:r w:rsidR="007B126E">
        <w:t>4</w:t>
      </w:r>
      <w:r w:rsidR="004233D2" w:rsidRPr="005456C3">
        <w:t xml:space="preserve"> </w:t>
      </w:r>
      <w:r w:rsidRPr="00847B09">
        <w:t xml:space="preserve">acres of </w:t>
      </w:r>
      <w:r w:rsidRPr="00384F14">
        <w:t xml:space="preserve">the Property are currently forested, with remaining non-forested lands being utilized primarily for UT FRREC facility footprint areas, equipment storage, and other directed </w:t>
      </w:r>
      <w:r w:rsidRPr="00847B09">
        <w:t xml:space="preserve">agricultural research.  The Property is divided into four separate forest units:  the Highland Rim Forest, consisting of </w:t>
      </w:r>
      <w:r w:rsidR="00B30B90">
        <w:t>861</w:t>
      </w:r>
      <w:r w:rsidR="006B79E4" w:rsidRPr="00847B09">
        <w:t xml:space="preserve"> for</w:t>
      </w:r>
      <w:r w:rsidR="006B79E4" w:rsidRPr="001A220D">
        <w:t xml:space="preserve">ested </w:t>
      </w:r>
      <w:r w:rsidRPr="006C452B">
        <w:t>acres; the Oak Ridge Forest, consisting of 2,</w:t>
      </w:r>
      <w:r w:rsidR="006B79E4" w:rsidRPr="005456C3">
        <w:t>14</w:t>
      </w:r>
      <w:r w:rsidR="00F67F67">
        <w:t>5</w:t>
      </w:r>
      <w:r w:rsidR="006B79E4" w:rsidRPr="005456C3">
        <w:t xml:space="preserve"> forested </w:t>
      </w:r>
      <w:r w:rsidRPr="005456C3">
        <w:t>acres; Cumberland Forest South, consisting of 3,</w:t>
      </w:r>
      <w:r w:rsidR="006B79E4" w:rsidRPr="005456C3">
        <w:t xml:space="preserve">994 forested </w:t>
      </w:r>
      <w:r w:rsidRPr="005456C3">
        <w:t>acres; and Cumberland Forest North</w:t>
      </w:r>
      <w:r w:rsidRPr="00384F14">
        <w:t>, consisting of 4,</w:t>
      </w:r>
      <w:r w:rsidR="006B79E4">
        <w:t>3</w:t>
      </w:r>
      <w:r w:rsidR="00F67F67">
        <w:t>6</w:t>
      </w:r>
      <w:r w:rsidR="007B126E">
        <w:t>3</w:t>
      </w:r>
      <w:r w:rsidRPr="00384F14">
        <w:t xml:space="preserve"> </w:t>
      </w:r>
      <w:r w:rsidR="006B79E4">
        <w:t xml:space="preserve">forested </w:t>
      </w:r>
      <w:r w:rsidRPr="00384F14">
        <w:t xml:space="preserve">acres.  Cumberland Forest North and Cumberland Forest South are sometimes collectively referred to herein simply as the Cumberland Forest.  </w:t>
      </w:r>
    </w:p>
    <w:p w14:paraId="25437EC4" w14:textId="77777777" w:rsidR="009405BF" w:rsidRDefault="009405BF" w:rsidP="009405BF">
      <w:pPr>
        <w:suppressAutoHyphens/>
        <w:ind w:left="720"/>
      </w:pPr>
    </w:p>
    <w:p w14:paraId="2AA3F3B8" w14:textId="77777777" w:rsidR="00D878F0" w:rsidRDefault="00D878F0" w:rsidP="00D878F0"/>
    <w:p w14:paraId="6EC9B2C8" w14:textId="7FADB53E" w:rsidR="005F7E7D" w:rsidRDefault="005F7E7D" w:rsidP="005F7E7D">
      <w:pPr>
        <w:pStyle w:val="Heading2"/>
      </w:pPr>
      <w:bookmarkStart w:id="9" w:name="_Toc2243486"/>
      <w:r>
        <w:t>A</w:t>
      </w:r>
      <w:r w:rsidR="00091661">
        <w:t>6</w:t>
      </w:r>
      <w:r>
        <w:t>. PROJECT ACTION</w:t>
      </w:r>
      <w:bookmarkEnd w:id="9"/>
      <w:r w:rsidR="0053045C">
        <w:t xml:space="preserve"> AND TECHNOLOGIES</w:t>
      </w:r>
    </w:p>
    <w:p w14:paraId="4ADC93CC" w14:textId="77777777" w:rsidR="00C65129" w:rsidRDefault="00C65129" w:rsidP="00824A58"/>
    <w:p w14:paraId="0B1EDDBE" w14:textId="1E232EBE" w:rsidR="00E25979" w:rsidRDefault="00490E2F" w:rsidP="00824A58">
      <w:r w:rsidRPr="008A289B">
        <w:t xml:space="preserve">The project activity is improved forest management, with </w:t>
      </w:r>
      <w:r w:rsidR="002F71BD">
        <w:t>UT</w:t>
      </w:r>
      <w:r w:rsidR="008C78FD" w:rsidRPr="008A289B">
        <w:t xml:space="preserve">’s </w:t>
      </w:r>
      <w:r w:rsidR="002F71BD">
        <w:t xml:space="preserve">improved forest management </w:t>
      </w:r>
      <w:r w:rsidRPr="008A289B">
        <w:t xml:space="preserve">practices representing an improvement in carbon storage over higher return, more aggressive management regimes. </w:t>
      </w:r>
      <w:r w:rsidR="008A007F" w:rsidRPr="008A289B">
        <w:t xml:space="preserve">The </w:t>
      </w:r>
      <w:r w:rsidR="002F71BD">
        <w:t xml:space="preserve">University of Tennessee </w:t>
      </w:r>
      <w:r w:rsidR="008A007F" w:rsidRPr="008A289B">
        <w:t>Improved Forest Management Project will provide critical finance for the</w:t>
      </w:r>
      <w:r w:rsidR="008A007F" w:rsidRPr="00D36518">
        <w:t xml:space="preserve"> oversigh</w:t>
      </w:r>
      <w:r w:rsidR="002F71BD">
        <w:t>t and management of the properties</w:t>
      </w:r>
      <w:r w:rsidR="008A007F" w:rsidRPr="00D36518">
        <w:t>.</w:t>
      </w:r>
    </w:p>
    <w:p w14:paraId="1ECA5B66" w14:textId="3E196833" w:rsidR="003C67B5" w:rsidRPr="00417565" w:rsidRDefault="003C67B5" w:rsidP="00417565">
      <w:pPr>
        <w:spacing w:after="0"/>
      </w:pPr>
      <w:r w:rsidRPr="00417565">
        <w:t xml:space="preserve">The start date of this project is </w:t>
      </w:r>
      <w:r w:rsidR="002F71BD">
        <w:t>the date on which UT and TNC entered into an agreement to develop the forested properties owned and managed by UT as a climate mitigation project</w:t>
      </w:r>
      <w:r w:rsidRPr="00417565">
        <w:t xml:space="preserve">. </w:t>
      </w:r>
    </w:p>
    <w:p w14:paraId="1ACCEA21" w14:textId="77777777" w:rsidR="001C367C" w:rsidRDefault="001C367C" w:rsidP="00824A58"/>
    <w:p w14:paraId="2BE9DA9A" w14:textId="7AC91166" w:rsidR="002F70D3" w:rsidRDefault="00375A72" w:rsidP="00824A58">
      <w:r>
        <w:t>With the new 40 year partnership UT and TNC entered into, m</w:t>
      </w:r>
      <w:r w:rsidR="00217556" w:rsidRPr="00BE7B0E">
        <w:t>anagement</w:t>
      </w:r>
      <w:r w:rsidR="005969EA" w:rsidRPr="00BE7B0E">
        <w:t xml:space="preserve"> activities </w:t>
      </w:r>
      <w:r>
        <w:t>on the property are now</w:t>
      </w:r>
      <w:r w:rsidR="005969EA" w:rsidRPr="00BE7B0E">
        <w:t xml:space="preserve"> guided by</w:t>
      </w:r>
      <w:r w:rsidR="00217556" w:rsidRPr="00BE7B0E">
        <w:t xml:space="preserve"> a forest management plan</w:t>
      </w:r>
      <w:r w:rsidR="0014020F">
        <w:t xml:space="preserve"> </w:t>
      </w:r>
      <w:r w:rsidR="00AD0FD4">
        <w:t>completed and certified under the Forest Stewardship Council (FSC) as a part of TNC’s ongoing Working Woodlands Program</w:t>
      </w:r>
      <w:r w:rsidR="00AD0FD4">
        <w:rPr>
          <w:vertAlign w:val="superscript"/>
        </w:rPr>
        <w:t>1</w:t>
      </w:r>
      <w:r w:rsidR="00AD0FD4">
        <w:t xml:space="preserve"> on October 19, 2020 </w:t>
      </w:r>
      <w:r w:rsidR="0014020F">
        <w:t>(see “</w:t>
      </w:r>
      <w:r w:rsidR="007B126E" w:rsidRPr="007B126E">
        <w:t>UTIA_FMP_</w:t>
      </w:r>
      <w:r w:rsidR="007B126E">
        <w:t>*</w:t>
      </w:r>
      <w:r w:rsidR="0014020F">
        <w:t>.pdf”</w:t>
      </w:r>
      <w:r w:rsidR="00AD0FD4">
        <w:t>)</w:t>
      </w:r>
      <w:r w:rsidR="00BB7D49">
        <w:t xml:space="preserve">; </w:t>
      </w:r>
    </w:p>
    <w:p w14:paraId="14EE3ABE" w14:textId="183E9C54" w:rsidR="00384F14" w:rsidRPr="00384F14" w:rsidRDefault="00375A72" w:rsidP="00384F14">
      <w:r>
        <w:t xml:space="preserve">New and clarified </w:t>
      </w:r>
      <w:r w:rsidR="00384F14" w:rsidRPr="00384F14">
        <w:t xml:space="preserve">objectives and goals for the Property </w:t>
      </w:r>
      <w:r w:rsidR="0039518C">
        <w:t xml:space="preserve">because of the partnership planning and project activity </w:t>
      </w:r>
      <w:r w:rsidR="00384F14" w:rsidRPr="00384F14">
        <w:t>include:</w:t>
      </w:r>
    </w:p>
    <w:p w14:paraId="1CD0A7C8" w14:textId="77777777" w:rsidR="00384F14" w:rsidRPr="00384F14" w:rsidRDefault="00384F14" w:rsidP="00384F14">
      <w:pPr>
        <w:numPr>
          <w:ilvl w:val="0"/>
          <w:numId w:val="12"/>
        </w:numPr>
      </w:pPr>
      <w:r w:rsidRPr="00384F14">
        <w:t>Maintenance, restoration, and enhancement of the biological diversity, water quality, and ecological integrity of the UT Forest Resources AgResearch and Education Center through employment of long-term, sustainable forest management practices.</w:t>
      </w:r>
    </w:p>
    <w:p w14:paraId="0BC16512" w14:textId="77777777" w:rsidR="00384F14" w:rsidRPr="00384F14" w:rsidRDefault="00384F14" w:rsidP="00384F14">
      <w:pPr>
        <w:numPr>
          <w:ilvl w:val="0"/>
          <w:numId w:val="12"/>
        </w:numPr>
      </w:pPr>
      <w:r w:rsidRPr="00384F14">
        <w:t>Meeting the requirements for FSC Certification and adhering to UT FRREC objectives pertaining to forest and land management.</w:t>
      </w:r>
    </w:p>
    <w:p w14:paraId="154F2CF9" w14:textId="77777777" w:rsidR="00384F14" w:rsidRPr="00384F14" w:rsidRDefault="00384F14" w:rsidP="00384F14">
      <w:pPr>
        <w:numPr>
          <w:ilvl w:val="0"/>
          <w:numId w:val="12"/>
        </w:numPr>
      </w:pPr>
      <w:r w:rsidRPr="00384F14">
        <w:t>Generation of revenues from sustainable production of forest products, including timber, recreation access, clean water, and carbon sequestration.</w:t>
      </w:r>
    </w:p>
    <w:p w14:paraId="197D003C" w14:textId="77777777" w:rsidR="00384F14" w:rsidRPr="00384F14" w:rsidRDefault="00384F14" w:rsidP="00384F14">
      <w:pPr>
        <w:numPr>
          <w:ilvl w:val="0"/>
          <w:numId w:val="12"/>
        </w:numPr>
      </w:pPr>
      <w:r w:rsidRPr="00384F14">
        <w:t xml:space="preserve">Sharing lessons learned and fostering future forest management innovation by establishing the Property as a working demonstration for ecologically-based land management, applied research, and educational outreach. </w:t>
      </w:r>
    </w:p>
    <w:p w14:paraId="6B7EC4FA" w14:textId="77777777" w:rsidR="00384F14" w:rsidRPr="00384F14" w:rsidRDefault="00384F14" w:rsidP="00384F14">
      <w:pPr>
        <w:numPr>
          <w:ilvl w:val="0"/>
          <w:numId w:val="12"/>
        </w:numPr>
      </w:pPr>
      <w:r w:rsidRPr="00384F14">
        <w:t>Establishment and fostering of positive, viable collaborations with other partners, researchers, and stakeholders to achieve individual and common objectives on a macro scale.</w:t>
      </w:r>
    </w:p>
    <w:p w14:paraId="79579A16" w14:textId="77777777" w:rsidR="00384F14" w:rsidRPr="00384F14" w:rsidRDefault="00384F14" w:rsidP="00384F14">
      <w:pPr>
        <w:numPr>
          <w:ilvl w:val="0"/>
          <w:numId w:val="12"/>
        </w:numPr>
      </w:pPr>
      <w:r w:rsidRPr="00384F14">
        <w:t>Contribution to local economies through creation and preservation of forest jobs, forest products, and compatible nature-based activities, including, but not limited to, outdoor recreation, as well as supporting local economic diversification through revenues generated therefrom.</w:t>
      </w:r>
    </w:p>
    <w:p w14:paraId="35A35AFD" w14:textId="09BB94B3" w:rsidR="00253888" w:rsidRDefault="00253888" w:rsidP="00490E2F">
      <w:r>
        <w:t>T</w:t>
      </w:r>
      <w:r w:rsidR="0053045C" w:rsidRPr="0053045C">
        <w:t>echnologies</w:t>
      </w:r>
      <w:r>
        <w:t xml:space="preserve"> to be applied in the project comprise silvicultural practices including predominately even-aged management (clearcuts and shelterwood harvests), but also some uneven-aged management (group selections). Levels of harvest and timber production in the project scenario, described in more detail in Section E6, will be substantially reduced from the baseline scenario, resulting in avoided emissions and steady recuperation and accrual of forest carbon stocks.</w:t>
      </w:r>
    </w:p>
    <w:p w14:paraId="3EF1E9FC" w14:textId="57DE473A" w:rsidR="00253888" w:rsidRDefault="00253888" w:rsidP="00253888"/>
    <w:p w14:paraId="2C43BCF2" w14:textId="77777777" w:rsidR="00253888" w:rsidRPr="00490E2F" w:rsidRDefault="00253888" w:rsidP="00490E2F"/>
    <w:p w14:paraId="75B77138" w14:textId="77777777" w:rsidR="00BA7B14" w:rsidRDefault="00BA7B14" w:rsidP="00BA7B14">
      <w:pPr>
        <w:pStyle w:val="Heading2"/>
      </w:pPr>
      <w:bookmarkStart w:id="10" w:name="_Toc2243487"/>
      <w:r>
        <w:t>A</w:t>
      </w:r>
      <w:r w:rsidR="00091661">
        <w:t>7</w:t>
      </w:r>
      <w:r>
        <w:t xml:space="preserve">. </w:t>
      </w:r>
      <w:r>
        <w:rPr>
          <w:i/>
        </w:rPr>
        <w:t xml:space="preserve">EX </w:t>
      </w:r>
      <w:r w:rsidRPr="00BA7B14">
        <w:rPr>
          <w:i/>
        </w:rPr>
        <w:t>ANTE</w:t>
      </w:r>
      <w:r>
        <w:t xml:space="preserve"> OFFSET PROJECTION</w:t>
      </w:r>
      <w:bookmarkEnd w:id="10"/>
    </w:p>
    <w:p w14:paraId="197F5680" w14:textId="77777777" w:rsidR="00C65129" w:rsidRDefault="00C65129" w:rsidP="00636121">
      <w:pPr>
        <w:rPr>
          <w:i/>
        </w:rPr>
      </w:pPr>
    </w:p>
    <w:p w14:paraId="4526285E" w14:textId="1A3716A8" w:rsidR="00636121" w:rsidRPr="00C65129" w:rsidRDefault="00C65129" w:rsidP="00636121">
      <w:r>
        <w:t xml:space="preserve">Estimates of </w:t>
      </w:r>
      <w:r w:rsidR="00BA7B14" w:rsidRPr="00C65129">
        <w:t>GHG emission reductions and removal enhancements</w:t>
      </w:r>
      <w:r w:rsidR="009202F1">
        <w:t xml:space="preserve"> (before buffer contribution)</w:t>
      </w:r>
      <w:r w:rsidR="00BA7B14" w:rsidRPr="00C65129">
        <w:t xml:space="preserve"> </w:t>
      </w:r>
      <w:r>
        <w:t>for the first 20-year cr</w:t>
      </w:r>
      <w:r w:rsidR="00EF5BE3">
        <w:t>editing period are provided in T</w:t>
      </w:r>
      <w:r>
        <w:t xml:space="preserve">able </w:t>
      </w:r>
      <w:r w:rsidR="00A83C79">
        <w:t xml:space="preserve">A1 </w:t>
      </w:r>
      <w:r>
        <w:t>below (derived in Section E)</w:t>
      </w:r>
      <w:r w:rsidR="00C65971" w:rsidRPr="00C65129">
        <w:t>.</w:t>
      </w:r>
    </w:p>
    <w:p w14:paraId="63E77D01" w14:textId="79529A27" w:rsidR="00C65129" w:rsidRPr="00863084" w:rsidRDefault="00C65129" w:rsidP="00C65129">
      <w:pPr>
        <w:rPr>
          <w:b/>
        </w:rPr>
      </w:pPr>
      <w:r w:rsidRPr="00C52B9A">
        <w:rPr>
          <w:b/>
        </w:rPr>
        <w:t xml:space="preserve">Table </w:t>
      </w:r>
      <w:r w:rsidR="00A83C79" w:rsidRPr="00E22717">
        <w:rPr>
          <w:b/>
        </w:rPr>
        <w:t>A1</w:t>
      </w:r>
      <w:r w:rsidRPr="00E22717">
        <w:rPr>
          <w:b/>
        </w:rPr>
        <w:t xml:space="preserve">. Estimates of annual emission reductions and cumulative emission reductions </w:t>
      </w:r>
      <w:r w:rsidR="009202F1" w:rsidRPr="00417565">
        <w:rPr>
          <w:b/>
        </w:rPr>
        <w:t>(before buffer contribution)</w:t>
      </w:r>
      <w:r w:rsidR="009202F1" w:rsidRPr="00C52B9A">
        <w:t xml:space="preserve"> </w:t>
      </w:r>
      <w:r w:rsidRPr="00E22717">
        <w:rPr>
          <w:b/>
        </w:rPr>
        <w:t xml:space="preserve">for the first crediting period. Throughout the GHG Plan, the convention is employed that project year refers to the </w:t>
      </w:r>
      <w:r w:rsidR="003946E8" w:rsidRPr="00C52B9A">
        <w:rPr>
          <w:b/>
        </w:rPr>
        <w:t xml:space="preserve">interval from </w:t>
      </w:r>
      <w:r w:rsidR="00AC41B9">
        <w:rPr>
          <w:b/>
        </w:rPr>
        <w:t xml:space="preserve">November 26 </w:t>
      </w:r>
      <w:r w:rsidR="00892328" w:rsidRPr="00C52B9A">
        <w:rPr>
          <w:b/>
        </w:rPr>
        <w:t xml:space="preserve">of </w:t>
      </w:r>
      <w:r w:rsidR="004608A9" w:rsidRPr="00C52B9A">
        <w:rPr>
          <w:b/>
        </w:rPr>
        <w:t xml:space="preserve">the </w:t>
      </w:r>
      <w:r w:rsidR="00AC41B9">
        <w:rPr>
          <w:b/>
        </w:rPr>
        <w:t xml:space="preserve">previous </w:t>
      </w:r>
      <w:r w:rsidR="003946E8" w:rsidRPr="00C52B9A">
        <w:rPr>
          <w:b/>
        </w:rPr>
        <w:t>year</w:t>
      </w:r>
      <w:r w:rsidR="00892328" w:rsidRPr="00C52B9A">
        <w:rPr>
          <w:b/>
        </w:rPr>
        <w:t xml:space="preserve"> to </w:t>
      </w:r>
      <w:r w:rsidR="00AC41B9">
        <w:rPr>
          <w:b/>
        </w:rPr>
        <w:t xml:space="preserve">November 25 </w:t>
      </w:r>
      <w:r w:rsidR="00892328" w:rsidRPr="00C52B9A">
        <w:rPr>
          <w:b/>
        </w:rPr>
        <w:t xml:space="preserve">of the </w:t>
      </w:r>
      <w:r w:rsidR="00AC41B9">
        <w:rPr>
          <w:b/>
        </w:rPr>
        <w:t xml:space="preserve">corresponding </w:t>
      </w:r>
      <w:r w:rsidR="00892328" w:rsidRPr="00C52B9A">
        <w:rPr>
          <w:b/>
        </w:rPr>
        <w:t>year</w:t>
      </w:r>
      <w:r w:rsidRPr="00C52B9A">
        <w:rPr>
          <w:b/>
        </w:rPr>
        <w:t>.</w:t>
      </w:r>
    </w:p>
    <w:tbl>
      <w:tblPr>
        <w:tblW w:w="7200" w:type="dxa"/>
        <w:tblInd w:w="108" w:type="dxa"/>
        <w:tblLook w:val="04A0" w:firstRow="1" w:lastRow="0" w:firstColumn="1" w:lastColumn="0" w:noHBand="0" w:noVBand="1"/>
      </w:tblPr>
      <w:tblGrid>
        <w:gridCol w:w="2400"/>
        <w:gridCol w:w="2400"/>
        <w:gridCol w:w="2400"/>
      </w:tblGrid>
      <w:tr w:rsidR="00C65129" w:rsidRPr="00863084" w14:paraId="43CC6D0C" w14:textId="77777777" w:rsidTr="00E86A48">
        <w:trPr>
          <w:trHeight w:val="765"/>
        </w:trPr>
        <w:tc>
          <w:tcPr>
            <w:tcW w:w="2400" w:type="dxa"/>
            <w:tcBorders>
              <w:top w:val="single" w:sz="4" w:space="0" w:color="auto"/>
              <w:left w:val="single" w:sz="4" w:space="0" w:color="auto"/>
              <w:bottom w:val="single" w:sz="4" w:space="0" w:color="auto"/>
              <w:right w:val="single" w:sz="4" w:space="0" w:color="auto"/>
            </w:tcBorders>
            <w:shd w:val="clear" w:color="auto" w:fill="auto"/>
            <w:hideMark/>
          </w:tcPr>
          <w:p w14:paraId="42B38DEB" w14:textId="77777777" w:rsidR="00C65129" w:rsidRPr="00863084" w:rsidRDefault="00C65129" w:rsidP="00E86A48">
            <w:pPr>
              <w:jc w:val="center"/>
              <w:rPr>
                <w:rFonts w:ascii="Arial" w:eastAsia="Times New Roman" w:hAnsi="Arial" w:cs="Arial"/>
                <w:b/>
                <w:bCs/>
                <w:color w:val="000000"/>
                <w:sz w:val="20"/>
                <w:szCs w:val="20"/>
              </w:rPr>
            </w:pPr>
            <w:r w:rsidRPr="00863084">
              <w:rPr>
                <w:rFonts w:ascii="Arial" w:eastAsia="Times New Roman" w:hAnsi="Arial" w:cs="Arial"/>
                <w:b/>
                <w:bCs/>
                <w:color w:val="000000"/>
                <w:sz w:val="20"/>
                <w:szCs w:val="20"/>
              </w:rPr>
              <w:t>Project Year</w:t>
            </w:r>
          </w:p>
        </w:tc>
        <w:tc>
          <w:tcPr>
            <w:tcW w:w="2400" w:type="dxa"/>
            <w:tcBorders>
              <w:top w:val="single" w:sz="4" w:space="0" w:color="auto"/>
              <w:left w:val="nil"/>
              <w:bottom w:val="single" w:sz="4" w:space="0" w:color="auto"/>
              <w:right w:val="single" w:sz="4" w:space="0" w:color="auto"/>
            </w:tcBorders>
            <w:shd w:val="clear" w:color="auto" w:fill="auto"/>
            <w:hideMark/>
          </w:tcPr>
          <w:p w14:paraId="7D584230" w14:textId="77777777" w:rsidR="00C65129" w:rsidRPr="00863084" w:rsidRDefault="00C65129" w:rsidP="00E86A48">
            <w:pPr>
              <w:jc w:val="center"/>
              <w:rPr>
                <w:rFonts w:ascii="Arial" w:eastAsia="Times New Roman" w:hAnsi="Arial" w:cs="Arial"/>
                <w:b/>
                <w:bCs/>
                <w:color w:val="000000"/>
                <w:sz w:val="20"/>
                <w:szCs w:val="20"/>
              </w:rPr>
            </w:pPr>
            <w:r w:rsidRPr="00863084">
              <w:rPr>
                <w:rFonts w:ascii="Arial" w:eastAsia="Times New Roman" w:hAnsi="Arial" w:cs="Arial"/>
                <w:b/>
                <w:bCs/>
                <w:color w:val="000000"/>
                <w:sz w:val="20"/>
                <w:szCs w:val="20"/>
              </w:rPr>
              <w:t>Annual net GHG emission reductions (t CO2)</w:t>
            </w:r>
          </w:p>
        </w:tc>
        <w:tc>
          <w:tcPr>
            <w:tcW w:w="2400" w:type="dxa"/>
            <w:tcBorders>
              <w:top w:val="single" w:sz="4" w:space="0" w:color="auto"/>
              <w:left w:val="nil"/>
              <w:bottom w:val="single" w:sz="4" w:space="0" w:color="auto"/>
              <w:right w:val="single" w:sz="4" w:space="0" w:color="auto"/>
            </w:tcBorders>
            <w:shd w:val="clear" w:color="auto" w:fill="auto"/>
            <w:hideMark/>
          </w:tcPr>
          <w:p w14:paraId="3DF03921" w14:textId="77777777" w:rsidR="00C65129" w:rsidRPr="00863084" w:rsidRDefault="00C65129" w:rsidP="00E86A48">
            <w:pPr>
              <w:jc w:val="center"/>
              <w:rPr>
                <w:rFonts w:ascii="Arial" w:eastAsia="Times New Roman" w:hAnsi="Arial" w:cs="Arial"/>
                <w:b/>
                <w:bCs/>
                <w:color w:val="000000"/>
                <w:sz w:val="20"/>
                <w:szCs w:val="20"/>
              </w:rPr>
            </w:pPr>
            <w:r w:rsidRPr="00863084">
              <w:rPr>
                <w:rFonts w:ascii="Arial" w:eastAsia="Times New Roman" w:hAnsi="Arial" w:cs="Arial"/>
                <w:b/>
                <w:bCs/>
                <w:color w:val="000000"/>
                <w:sz w:val="20"/>
                <w:szCs w:val="20"/>
              </w:rPr>
              <w:t>Cumulative emission reductions earned (t CO2)</w:t>
            </w:r>
          </w:p>
        </w:tc>
      </w:tr>
      <w:tr w:rsidR="00AC465A" w:rsidRPr="00863084" w14:paraId="50C0AE5C"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148038D5" w14:textId="4313C6CD" w:rsidR="00AC465A" w:rsidRPr="00863084" w:rsidRDefault="00AC465A" w:rsidP="00AC465A">
            <w:pPr>
              <w:jc w:val="right"/>
              <w:rPr>
                <w:rFonts w:ascii="Calibri" w:hAnsi="Calibri"/>
                <w:color w:val="000000"/>
              </w:rPr>
            </w:pPr>
            <w:r>
              <w:rPr>
                <w:rFonts w:ascii="Calibri" w:hAnsi="Calibri" w:cs="Calibri"/>
                <w:color w:val="000000"/>
              </w:rPr>
              <w:t>2020</w:t>
            </w:r>
          </w:p>
        </w:tc>
        <w:tc>
          <w:tcPr>
            <w:tcW w:w="2400" w:type="dxa"/>
            <w:tcBorders>
              <w:top w:val="nil"/>
              <w:left w:val="nil"/>
              <w:bottom w:val="single" w:sz="4" w:space="0" w:color="auto"/>
              <w:right w:val="single" w:sz="4" w:space="0" w:color="auto"/>
            </w:tcBorders>
            <w:shd w:val="clear" w:color="auto" w:fill="auto"/>
            <w:noWrap/>
            <w:vAlign w:val="bottom"/>
          </w:tcPr>
          <w:p w14:paraId="16110432" w14:textId="32222390" w:rsidR="00AC465A" w:rsidRPr="009202F1" w:rsidRDefault="00AC465A" w:rsidP="00AC465A">
            <w:pPr>
              <w:rPr>
                <w:rFonts w:ascii="Calibri" w:hAnsi="Calibri"/>
                <w:color w:val="000000"/>
              </w:rPr>
            </w:pPr>
            <w:r>
              <w:rPr>
                <w:rFonts w:ascii="Calibri" w:hAnsi="Calibri" w:cs="Calibri"/>
                <w:color w:val="000000"/>
              </w:rPr>
              <w:t xml:space="preserve">              89,192 </w:t>
            </w:r>
          </w:p>
        </w:tc>
        <w:tc>
          <w:tcPr>
            <w:tcW w:w="2400" w:type="dxa"/>
            <w:tcBorders>
              <w:top w:val="nil"/>
              <w:left w:val="nil"/>
              <w:bottom w:val="single" w:sz="4" w:space="0" w:color="auto"/>
              <w:right w:val="single" w:sz="4" w:space="0" w:color="auto"/>
            </w:tcBorders>
            <w:shd w:val="clear" w:color="auto" w:fill="auto"/>
            <w:noWrap/>
            <w:vAlign w:val="bottom"/>
          </w:tcPr>
          <w:p w14:paraId="25DAAA36" w14:textId="62BB2A8B" w:rsidR="00AC465A" w:rsidRPr="009202F1" w:rsidRDefault="00AC465A" w:rsidP="00AC465A">
            <w:pPr>
              <w:rPr>
                <w:rFonts w:ascii="Calibri" w:hAnsi="Calibri"/>
                <w:color w:val="000000"/>
              </w:rPr>
            </w:pPr>
            <w:r>
              <w:rPr>
                <w:rFonts w:ascii="Calibri" w:hAnsi="Calibri" w:cs="Calibri"/>
                <w:color w:val="000000"/>
              </w:rPr>
              <w:t xml:space="preserve">                89,192 </w:t>
            </w:r>
          </w:p>
        </w:tc>
      </w:tr>
      <w:tr w:rsidR="00AC465A" w:rsidRPr="00863084" w14:paraId="7441AF1F"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0AEDE9F9" w14:textId="3756742A" w:rsidR="00AC465A" w:rsidRPr="00863084" w:rsidRDefault="00AC465A" w:rsidP="00AC465A">
            <w:pPr>
              <w:jc w:val="right"/>
              <w:rPr>
                <w:rFonts w:ascii="Calibri" w:hAnsi="Calibri"/>
                <w:color w:val="000000"/>
              </w:rPr>
            </w:pPr>
            <w:r>
              <w:rPr>
                <w:rFonts w:ascii="Calibri" w:hAnsi="Calibri" w:cs="Calibri"/>
                <w:color w:val="000000"/>
              </w:rPr>
              <w:t>2021</w:t>
            </w:r>
          </w:p>
        </w:tc>
        <w:tc>
          <w:tcPr>
            <w:tcW w:w="2400" w:type="dxa"/>
            <w:tcBorders>
              <w:top w:val="nil"/>
              <w:left w:val="nil"/>
              <w:bottom w:val="single" w:sz="4" w:space="0" w:color="auto"/>
              <w:right w:val="single" w:sz="4" w:space="0" w:color="auto"/>
            </w:tcBorders>
            <w:shd w:val="clear" w:color="auto" w:fill="auto"/>
            <w:noWrap/>
            <w:vAlign w:val="bottom"/>
          </w:tcPr>
          <w:p w14:paraId="6435B42C" w14:textId="415C1187" w:rsidR="00AC465A" w:rsidRPr="009202F1" w:rsidRDefault="00AC465A" w:rsidP="00AC465A">
            <w:pPr>
              <w:rPr>
                <w:rFonts w:ascii="Calibri" w:hAnsi="Calibri"/>
                <w:color w:val="000000"/>
              </w:rPr>
            </w:pPr>
            <w:r>
              <w:rPr>
                <w:rFonts w:ascii="Calibri" w:hAnsi="Calibri" w:cs="Calibri"/>
                <w:color w:val="000000"/>
              </w:rPr>
              <w:t xml:space="preserve">              69,955 </w:t>
            </w:r>
          </w:p>
        </w:tc>
        <w:tc>
          <w:tcPr>
            <w:tcW w:w="2400" w:type="dxa"/>
            <w:tcBorders>
              <w:top w:val="nil"/>
              <w:left w:val="nil"/>
              <w:bottom w:val="single" w:sz="4" w:space="0" w:color="auto"/>
              <w:right w:val="single" w:sz="4" w:space="0" w:color="auto"/>
            </w:tcBorders>
            <w:shd w:val="clear" w:color="auto" w:fill="auto"/>
            <w:noWrap/>
            <w:vAlign w:val="bottom"/>
          </w:tcPr>
          <w:p w14:paraId="7B4DD718" w14:textId="04194BA0" w:rsidR="00AC465A" w:rsidRPr="009202F1" w:rsidRDefault="00AC465A" w:rsidP="00AC465A">
            <w:pPr>
              <w:rPr>
                <w:rFonts w:ascii="Calibri" w:hAnsi="Calibri"/>
                <w:color w:val="000000"/>
              </w:rPr>
            </w:pPr>
            <w:r>
              <w:rPr>
                <w:rFonts w:ascii="Calibri" w:hAnsi="Calibri" w:cs="Calibri"/>
                <w:color w:val="000000"/>
              </w:rPr>
              <w:t xml:space="preserve">              159,147 </w:t>
            </w:r>
          </w:p>
        </w:tc>
      </w:tr>
      <w:tr w:rsidR="00AC465A" w:rsidRPr="00863084" w14:paraId="563908D9"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16E83EC3" w14:textId="76D153E0" w:rsidR="00AC465A" w:rsidRPr="00863084" w:rsidRDefault="00AC465A" w:rsidP="00AC465A">
            <w:pPr>
              <w:jc w:val="right"/>
              <w:rPr>
                <w:rFonts w:ascii="Calibri" w:hAnsi="Calibri"/>
                <w:color w:val="000000"/>
              </w:rPr>
            </w:pPr>
            <w:r>
              <w:rPr>
                <w:rFonts w:ascii="Calibri" w:hAnsi="Calibri" w:cs="Calibri"/>
                <w:color w:val="000000"/>
              </w:rPr>
              <w:t>2022</w:t>
            </w:r>
          </w:p>
        </w:tc>
        <w:tc>
          <w:tcPr>
            <w:tcW w:w="2400" w:type="dxa"/>
            <w:tcBorders>
              <w:top w:val="nil"/>
              <w:left w:val="nil"/>
              <w:bottom w:val="single" w:sz="4" w:space="0" w:color="auto"/>
              <w:right w:val="single" w:sz="4" w:space="0" w:color="auto"/>
            </w:tcBorders>
            <w:shd w:val="clear" w:color="auto" w:fill="auto"/>
            <w:noWrap/>
            <w:vAlign w:val="bottom"/>
          </w:tcPr>
          <w:p w14:paraId="66BC741D" w14:textId="5976FBF6" w:rsidR="00AC465A" w:rsidRPr="009202F1" w:rsidRDefault="00AC465A" w:rsidP="00AC465A">
            <w:pPr>
              <w:rPr>
                <w:rFonts w:ascii="Calibri" w:hAnsi="Calibri"/>
                <w:color w:val="000000"/>
              </w:rPr>
            </w:pPr>
            <w:r>
              <w:rPr>
                <w:rFonts w:ascii="Calibri" w:hAnsi="Calibri" w:cs="Calibri"/>
                <w:color w:val="000000"/>
              </w:rPr>
              <w:t xml:space="preserve">              73,588 </w:t>
            </w:r>
          </w:p>
        </w:tc>
        <w:tc>
          <w:tcPr>
            <w:tcW w:w="2400" w:type="dxa"/>
            <w:tcBorders>
              <w:top w:val="nil"/>
              <w:left w:val="nil"/>
              <w:bottom w:val="single" w:sz="4" w:space="0" w:color="auto"/>
              <w:right w:val="single" w:sz="4" w:space="0" w:color="auto"/>
            </w:tcBorders>
            <w:shd w:val="clear" w:color="auto" w:fill="auto"/>
            <w:noWrap/>
            <w:vAlign w:val="bottom"/>
          </w:tcPr>
          <w:p w14:paraId="66BF5BFE" w14:textId="44ACE71B" w:rsidR="00AC465A" w:rsidRPr="009202F1" w:rsidRDefault="00AC465A" w:rsidP="00AC465A">
            <w:pPr>
              <w:rPr>
                <w:rFonts w:ascii="Calibri" w:hAnsi="Calibri"/>
                <w:color w:val="000000"/>
              </w:rPr>
            </w:pPr>
            <w:r>
              <w:rPr>
                <w:rFonts w:ascii="Calibri" w:hAnsi="Calibri" w:cs="Calibri"/>
                <w:color w:val="000000"/>
              </w:rPr>
              <w:t xml:space="preserve">              232,735 </w:t>
            </w:r>
          </w:p>
        </w:tc>
      </w:tr>
      <w:tr w:rsidR="00AC465A" w:rsidRPr="00863084" w14:paraId="4B230603"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6515440C" w14:textId="409942E7" w:rsidR="00AC465A" w:rsidRPr="00863084" w:rsidRDefault="00AC465A" w:rsidP="00AC465A">
            <w:pPr>
              <w:jc w:val="right"/>
              <w:rPr>
                <w:rFonts w:ascii="Calibri" w:hAnsi="Calibri"/>
                <w:color w:val="000000"/>
              </w:rPr>
            </w:pPr>
            <w:r>
              <w:rPr>
                <w:rFonts w:ascii="Calibri" w:hAnsi="Calibri" w:cs="Calibri"/>
                <w:color w:val="000000"/>
              </w:rPr>
              <w:t>2023</w:t>
            </w:r>
          </w:p>
        </w:tc>
        <w:tc>
          <w:tcPr>
            <w:tcW w:w="2400" w:type="dxa"/>
            <w:tcBorders>
              <w:top w:val="nil"/>
              <w:left w:val="nil"/>
              <w:bottom w:val="single" w:sz="4" w:space="0" w:color="auto"/>
              <w:right w:val="single" w:sz="4" w:space="0" w:color="auto"/>
            </w:tcBorders>
            <w:shd w:val="clear" w:color="auto" w:fill="auto"/>
            <w:noWrap/>
            <w:vAlign w:val="bottom"/>
          </w:tcPr>
          <w:p w14:paraId="7BE06AAE" w14:textId="382ACF60" w:rsidR="00AC465A" w:rsidRPr="009202F1" w:rsidRDefault="00AC465A" w:rsidP="00AC465A">
            <w:pPr>
              <w:rPr>
                <w:rFonts w:ascii="Calibri" w:hAnsi="Calibri"/>
                <w:color w:val="000000"/>
              </w:rPr>
            </w:pPr>
            <w:r>
              <w:rPr>
                <w:rFonts w:ascii="Calibri" w:hAnsi="Calibri" w:cs="Calibri"/>
                <w:color w:val="000000"/>
              </w:rPr>
              <w:t xml:space="preserve">              75,897 </w:t>
            </w:r>
          </w:p>
        </w:tc>
        <w:tc>
          <w:tcPr>
            <w:tcW w:w="2400" w:type="dxa"/>
            <w:tcBorders>
              <w:top w:val="nil"/>
              <w:left w:val="nil"/>
              <w:bottom w:val="single" w:sz="4" w:space="0" w:color="auto"/>
              <w:right w:val="single" w:sz="4" w:space="0" w:color="auto"/>
            </w:tcBorders>
            <w:shd w:val="clear" w:color="auto" w:fill="auto"/>
            <w:noWrap/>
            <w:vAlign w:val="bottom"/>
          </w:tcPr>
          <w:p w14:paraId="6B698BBF" w14:textId="5D62642C" w:rsidR="00AC465A" w:rsidRPr="009202F1" w:rsidRDefault="00AC465A" w:rsidP="00AC465A">
            <w:pPr>
              <w:rPr>
                <w:rFonts w:ascii="Calibri" w:hAnsi="Calibri"/>
                <w:color w:val="000000"/>
              </w:rPr>
            </w:pPr>
            <w:r>
              <w:rPr>
                <w:rFonts w:ascii="Calibri" w:hAnsi="Calibri" w:cs="Calibri"/>
                <w:color w:val="000000"/>
              </w:rPr>
              <w:t xml:space="preserve">              308,632 </w:t>
            </w:r>
          </w:p>
        </w:tc>
      </w:tr>
      <w:tr w:rsidR="00AC465A" w:rsidRPr="00863084" w14:paraId="64E76825"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19AA8306" w14:textId="27DF604C" w:rsidR="00AC465A" w:rsidRPr="00863084" w:rsidRDefault="00AC465A" w:rsidP="00AC465A">
            <w:pPr>
              <w:jc w:val="right"/>
              <w:rPr>
                <w:rFonts w:ascii="Calibri" w:hAnsi="Calibri"/>
                <w:color w:val="000000"/>
              </w:rPr>
            </w:pPr>
            <w:r>
              <w:rPr>
                <w:rFonts w:ascii="Calibri" w:hAnsi="Calibri" w:cs="Calibri"/>
                <w:color w:val="000000"/>
              </w:rPr>
              <w:t>2024</w:t>
            </w:r>
          </w:p>
        </w:tc>
        <w:tc>
          <w:tcPr>
            <w:tcW w:w="2400" w:type="dxa"/>
            <w:tcBorders>
              <w:top w:val="nil"/>
              <w:left w:val="nil"/>
              <w:bottom w:val="single" w:sz="4" w:space="0" w:color="auto"/>
              <w:right w:val="single" w:sz="4" w:space="0" w:color="auto"/>
            </w:tcBorders>
            <w:shd w:val="clear" w:color="auto" w:fill="auto"/>
            <w:noWrap/>
            <w:vAlign w:val="bottom"/>
          </w:tcPr>
          <w:p w14:paraId="3D71402B" w14:textId="6AC5AB65" w:rsidR="00AC465A" w:rsidRPr="009202F1" w:rsidRDefault="00AC465A" w:rsidP="00AC465A">
            <w:pPr>
              <w:rPr>
                <w:rFonts w:ascii="Calibri" w:hAnsi="Calibri"/>
                <w:color w:val="000000"/>
              </w:rPr>
            </w:pPr>
            <w:r>
              <w:rPr>
                <w:rFonts w:ascii="Calibri" w:hAnsi="Calibri" w:cs="Calibri"/>
                <w:color w:val="000000"/>
              </w:rPr>
              <w:t xml:space="preserve">              84,882 </w:t>
            </w:r>
          </w:p>
        </w:tc>
        <w:tc>
          <w:tcPr>
            <w:tcW w:w="2400" w:type="dxa"/>
            <w:tcBorders>
              <w:top w:val="nil"/>
              <w:left w:val="nil"/>
              <w:bottom w:val="single" w:sz="4" w:space="0" w:color="auto"/>
              <w:right w:val="single" w:sz="4" w:space="0" w:color="auto"/>
            </w:tcBorders>
            <w:shd w:val="clear" w:color="auto" w:fill="auto"/>
            <w:noWrap/>
            <w:vAlign w:val="bottom"/>
          </w:tcPr>
          <w:p w14:paraId="3CB773EF" w14:textId="3C4D22F3" w:rsidR="00AC465A" w:rsidRPr="009202F1" w:rsidRDefault="00AC465A" w:rsidP="00AC465A">
            <w:pPr>
              <w:rPr>
                <w:rFonts w:ascii="Calibri" w:hAnsi="Calibri"/>
                <w:color w:val="000000"/>
              </w:rPr>
            </w:pPr>
            <w:r>
              <w:rPr>
                <w:rFonts w:ascii="Calibri" w:hAnsi="Calibri" w:cs="Calibri"/>
                <w:color w:val="000000"/>
              </w:rPr>
              <w:t xml:space="preserve">              393,514 </w:t>
            </w:r>
          </w:p>
        </w:tc>
      </w:tr>
      <w:tr w:rsidR="00AC465A" w:rsidRPr="00863084" w14:paraId="5078A8A0"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1C9348DB" w14:textId="23674E95" w:rsidR="00AC465A" w:rsidRPr="00863084" w:rsidRDefault="00AC465A" w:rsidP="00AC465A">
            <w:pPr>
              <w:jc w:val="right"/>
              <w:rPr>
                <w:rFonts w:ascii="Calibri" w:hAnsi="Calibri"/>
                <w:color w:val="000000"/>
              </w:rPr>
            </w:pPr>
            <w:r>
              <w:rPr>
                <w:rFonts w:ascii="Calibri" w:hAnsi="Calibri" w:cs="Calibri"/>
                <w:color w:val="000000"/>
              </w:rPr>
              <w:t>2025</w:t>
            </w:r>
          </w:p>
        </w:tc>
        <w:tc>
          <w:tcPr>
            <w:tcW w:w="2400" w:type="dxa"/>
            <w:tcBorders>
              <w:top w:val="nil"/>
              <w:left w:val="nil"/>
              <w:bottom w:val="single" w:sz="4" w:space="0" w:color="auto"/>
              <w:right w:val="single" w:sz="4" w:space="0" w:color="auto"/>
            </w:tcBorders>
            <w:shd w:val="clear" w:color="auto" w:fill="auto"/>
            <w:noWrap/>
            <w:vAlign w:val="bottom"/>
          </w:tcPr>
          <w:p w14:paraId="595EC53C" w14:textId="7642956C" w:rsidR="00AC465A" w:rsidRPr="009202F1" w:rsidRDefault="00AC465A" w:rsidP="00AC465A">
            <w:pPr>
              <w:rPr>
                <w:rFonts w:ascii="Calibri" w:hAnsi="Calibri"/>
                <w:color w:val="000000"/>
              </w:rPr>
            </w:pPr>
            <w:r>
              <w:rPr>
                <w:rFonts w:ascii="Calibri" w:hAnsi="Calibri" w:cs="Calibri"/>
                <w:color w:val="000000"/>
              </w:rPr>
              <w:t xml:space="preserve">              25,668 </w:t>
            </w:r>
          </w:p>
        </w:tc>
        <w:tc>
          <w:tcPr>
            <w:tcW w:w="2400" w:type="dxa"/>
            <w:tcBorders>
              <w:top w:val="nil"/>
              <w:left w:val="nil"/>
              <w:bottom w:val="single" w:sz="4" w:space="0" w:color="auto"/>
              <w:right w:val="single" w:sz="4" w:space="0" w:color="auto"/>
            </w:tcBorders>
            <w:shd w:val="clear" w:color="auto" w:fill="auto"/>
            <w:noWrap/>
            <w:vAlign w:val="bottom"/>
          </w:tcPr>
          <w:p w14:paraId="23C17A2C" w14:textId="736B4592" w:rsidR="00AC465A" w:rsidRPr="009202F1" w:rsidRDefault="00AC465A" w:rsidP="00AC465A">
            <w:pPr>
              <w:rPr>
                <w:rFonts w:ascii="Calibri" w:hAnsi="Calibri"/>
                <w:color w:val="000000"/>
              </w:rPr>
            </w:pPr>
            <w:r>
              <w:rPr>
                <w:rFonts w:ascii="Calibri" w:hAnsi="Calibri" w:cs="Calibri"/>
                <w:color w:val="000000"/>
              </w:rPr>
              <w:t xml:space="preserve">              419,182 </w:t>
            </w:r>
          </w:p>
        </w:tc>
      </w:tr>
      <w:tr w:rsidR="00AC465A" w:rsidRPr="00863084" w14:paraId="2F84B004"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3FE9D645" w14:textId="66735EA3" w:rsidR="00AC465A" w:rsidRPr="00863084" w:rsidRDefault="00AC465A" w:rsidP="00AC465A">
            <w:pPr>
              <w:jc w:val="right"/>
              <w:rPr>
                <w:rFonts w:ascii="Calibri" w:hAnsi="Calibri"/>
                <w:color w:val="000000"/>
              </w:rPr>
            </w:pPr>
            <w:r>
              <w:rPr>
                <w:rFonts w:ascii="Calibri" w:hAnsi="Calibri" w:cs="Calibri"/>
                <w:color w:val="000000"/>
              </w:rPr>
              <w:t>2026</w:t>
            </w:r>
          </w:p>
        </w:tc>
        <w:tc>
          <w:tcPr>
            <w:tcW w:w="2400" w:type="dxa"/>
            <w:tcBorders>
              <w:top w:val="nil"/>
              <w:left w:val="nil"/>
              <w:bottom w:val="single" w:sz="4" w:space="0" w:color="auto"/>
              <w:right w:val="single" w:sz="4" w:space="0" w:color="auto"/>
            </w:tcBorders>
            <w:shd w:val="clear" w:color="auto" w:fill="auto"/>
            <w:noWrap/>
            <w:vAlign w:val="bottom"/>
          </w:tcPr>
          <w:p w14:paraId="08CDEE3C" w14:textId="7558DD42" w:rsidR="00AC465A" w:rsidRPr="009202F1" w:rsidRDefault="00AC465A" w:rsidP="00AC465A">
            <w:pPr>
              <w:rPr>
                <w:rFonts w:ascii="Calibri" w:hAnsi="Calibri"/>
                <w:color w:val="000000"/>
              </w:rPr>
            </w:pPr>
            <w:r>
              <w:rPr>
                <w:rFonts w:ascii="Calibri" w:hAnsi="Calibri" w:cs="Calibri"/>
                <w:color w:val="000000"/>
              </w:rPr>
              <w:t xml:space="preserve">              79,128 </w:t>
            </w:r>
          </w:p>
        </w:tc>
        <w:tc>
          <w:tcPr>
            <w:tcW w:w="2400" w:type="dxa"/>
            <w:tcBorders>
              <w:top w:val="nil"/>
              <w:left w:val="nil"/>
              <w:bottom w:val="single" w:sz="4" w:space="0" w:color="auto"/>
              <w:right w:val="single" w:sz="4" w:space="0" w:color="auto"/>
            </w:tcBorders>
            <w:shd w:val="clear" w:color="auto" w:fill="auto"/>
            <w:noWrap/>
            <w:vAlign w:val="bottom"/>
          </w:tcPr>
          <w:p w14:paraId="5F392D1E" w14:textId="6D2D2A7B" w:rsidR="00AC465A" w:rsidRPr="009202F1" w:rsidRDefault="00AC465A" w:rsidP="00AC465A">
            <w:pPr>
              <w:rPr>
                <w:rFonts w:ascii="Calibri" w:hAnsi="Calibri"/>
                <w:color w:val="000000"/>
              </w:rPr>
            </w:pPr>
            <w:r>
              <w:rPr>
                <w:rFonts w:ascii="Calibri" w:hAnsi="Calibri" w:cs="Calibri"/>
                <w:color w:val="000000"/>
              </w:rPr>
              <w:t xml:space="preserve">              498,310 </w:t>
            </w:r>
          </w:p>
        </w:tc>
      </w:tr>
      <w:tr w:rsidR="00AC465A" w:rsidRPr="00863084" w14:paraId="04D91B84"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1061544F" w14:textId="43D84406" w:rsidR="00AC465A" w:rsidRPr="00863084" w:rsidRDefault="00AC465A" w:rsidP="00AC465A">
            <w:pPr>
              <w:jc w:val="right"/>
              <w:rPr>
                <w:rFonts w:ascii="Calibri" w:hAnsi="Calibri"/>
                <w:color w:val="000000"/>
              </w:rPr>
            </w:pPr>
            <w:r>
              <w:rPr>
                <w:rFonts w:ascii="Calibri" w:hAnsi="Calibri" w:cs="Calibri"/>
                <w:color w:val="000000"/>
              </w:rPr>
              <w:t>2027</w:t>
            </w:r>
          </w:p>
        </w:tc>
        <w:tc>
          <w:tcPr>
            <w:tcW w:w="2400" w:type="dxa"/>
            <w:tcBorders>
              <w:top w:val="nil"/>
              <w:left w:val="nil"/>
              <w:bottom w:val="single" w:sz="4" w:space="0" w:color="auto"/>
              <w:right w:val="single" w:sz="4" w:space="0" w:color="auto"/>
            </w:tcBorders>
            <w:shd w:val="clear" w:color="auto" w:fill="auto"/>
            <w:noWrap/>
            <w:vAlign w:val="bottom"/>
          </w:tcPr>
          <w:p w14:paraId="00EC1FCA" w14:textId="78C3941C" w:rsidR="00AC465A" w:rsidRPr="009202F1" w:rsidRDefault="00AC465A" w:rsidP="00AC465A">
            <w:pPr>
              <w:rPr>
                <w:rFonts w:ascii="Calibri" w:hAnsi="Calibri"/>
                <w:color w:val="000000"/>
              </w:rPr>
            </w:pPr>
            <w:r>
              <w:rPr>
                <w:rFonts w:ascii="Calibri" w:hAnsi="Calibri" w:cs="Calibri"/>
                <w:color w:val="000000"/>
              </w:rPr>
              <w:t xml:space="preserve">              80,421 </w:t>
            </w:r>
          </w:p>
        </w:tc>
        <w:tc>
          <w:tcPr>
            <w:tcW w:w="2400" w:type="dxa"/>
            <w:tcBorders>
              <w:top w:val="nil"/>
              <w:left w:val="nil"/>
              <w:bottom w:val="single" w:sz="4" w:space="0" w:color="auto"/>
              <w:right w:val="single" w:sz="4" w:space="0" w:color="auto"/>
            </w:tcBorders>
            <w:shd w:val="clear" w:color="auto" w:fill="auto"/>
            <w:noWrap/>
            <w:vAlign w:val="bottom"/>
          </w:tcPr>
          <w:p w14:paraId="7D8C27A0" w14:textId="0215F7E0" w:rsidR="00AC465A" w:rsidRPr="009202F1" w:rsidRDefault="00AC465A" w:rsidP="00AC465A">
            <w:pPr>
              <w:rPr>
                <w:rFonts w:ascii="Calibri" w:hAnsi="Calibri"/>
                <w:color w:val="000000"/>
              </w:rPr>
            </w:pPr>
            <w:r>
              <w:rPr>
                <w:rFonts w:ascii="Calibri" w:hAnsi="Calibri" w:cs="Calibri"/>
                <w:color w:val="000000"/>
              </w:rPr>
              <w:t xml:space="preserve">              578,731 </w:t>
            </w:r>
          </w:p>
        </w:tc>
      </w:tr>
      <w:tr w:rsidR="00AC465A" w:rsidRPr="00863084" w14:paraId="3FBA9E2A"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180155AC" w14:textId="2697FE89" w:rsidR="00AC465A" w:rsidRPr="00863084" w:rsidRDefault="00AC465A" w:rsidP="00AC465A">
            <w:pPr>
              <w:jc w:val="right"/>
              <w:rPr>
                <w:rFonts w:ascii="Calibri" w:hAnsi="Calibri"/>
                <w:color w:val="000000"/>
              </w:rPr>
            </w:pPr>
            <w:r>
              <w:rPr>
                <w:rFonts w:ascii="Calibri" w:hAnsi="Calibri" w:cs="Calibri"/>
                <w:color w:val="000000"/>
              </w:rPr>
              <w:t>2028</w:t>
            </w:r>
          </w:p>
        </w:tc>
        <w:tc>
          <w:tcPr>
            <w:tcW w:w="2400" w:type="dxa"/>
            <w:tcBorders>
              <w:top w:val="nil"/>
              <w:left w:val="nil"/>
              <w:bottom w:val="single" w:sz="4" w:space="0" w:color="auto"/>
              <w:right w:val="single" w:sz="4" w:space="0" w:color="auto"/>
            </w:tcBorders>
            <w:shd w:val="clear" w:color="auto" w:fill="auto"/>
            <w:noWrap/>
            <w:vAlign w:val="bottom"/>
          </w:tcPr>
          <w:p w14:paraId="06405C3D" w14:textId="1FD3100A" w:rsidR="00AC465A" w:rsidRPr="009202F1" w:rsidRDefault="00AC465A" w:rsidP="00AC465A">
            <w:pPr>
              <w:rPr>
                <w:rFonts w:ascii="Calibri" w:hAnsi="Calibri"/>
                <w:color w:val="000000"/>
              </w:rPr>
            </w:pPr>
            <w:r>
              <w:rPr>
                <w:rFonts w:ascii="Calibri" w:hAnsi="Calibri" w:cs="Calibri"/>
                <w:color w:val="000000"/>
              </w:rPr>
              <w:t xml:space="preserve">              82,046 </w:t>
            </w:r>
          </w:p>
        </w:tc>
        <w:tc>
          <w:tcPr>
            <w:tcW w:w="2400" w:type="dxa"/>
            <w:tcBorders>
              <w:top w:val="nil"/>
              <w:left w:val="nil"/>
              <w:bottom w:val="single" w:sz="4" w:space="0" w:color="auto"/>
              <w:right w:val="single" w:sz="4" w:space="0" w:color="auto"/>
            </w:tcBorders>
            <w:shd w:val="clear" w:color="auto" w:fill="auto"/>
            <w:noWrap/>
            <w:vAlign w:val="bottom"/>
          </w:tcPr>
          <w:p w14:paraId="6E1F3ED7" w14:textId="7F1B03EE" w:rsidR="00AC465A" w:rsidRPr="009202F1" w:rsidRDefault="00AC465A" w:rsidP="00AC465A">
            <w:pPr>
              <w:rPr>
                <w:rFonts w:ascii="Calibri" w:hAnsi="Calibri"/>
                <w:color w:val="000000"/>
              </w:rPr>
            </w:pPr>
            <w:r>
              <w:rPr>
                <w:rFonts w:ascii="Calibri" w:hAnsi="Calibri" w:cs="Calibri"/>
                <w:color w:val="000000"/>
              </w:rPr>
              <w:t xml:space="preserve">              660,777 </w:t>
            </w:r>
          </w:p>
        </w:tc>
      </w:tr>
      <w:tr w:rsidR="00AC465A" w:rsidRPr="00863084" w14:paraId="0ED0ED1F"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75528600" w14:textId="63E280F8" w:rsidR="00AC465A" w:rsidRPr="00863084" w:rsidRDefault="00AC465A" w:rsidP="00AC465A">
            <w:pPr>
              <w:jc w:val="right"/>
              <w:rPr>
                <w:rFonts w:ascii="Calibri" w:hAnsi="Calibri"/>
                <w:color w:val="000000"/>
              </w:rPr>
            </w:pPr>
            <w:r>
              <w:rPr>
                <w:rFonts w:ascii="Calibri" w:hAnsi="Calibri" w:cs="Calibri"/>
                <w:color w:val="000000"/>
              </w:rPr>
              <w:t>2029</w:t>
            </w:r>
          </w:p>
        </w:tc>
        <w:tc>
          <w:tcPr>
            <w:tcW w:w="2400" w:type="dxa"/>
            <w:tcBorders>
              <w:top w:val="nil"/>
              <w:left w:val="nil"/>
              <w:bottom w:val="single" w:sz="4" w:space="0" w:color="auto"/>
              <w:right w:val="single" w:sz="4" w:space="0" w:color="auto"/>
            </w:tcBorders>
            <w:shd w:val="clear" w:color="auto" w:fill="auto"/>
            <w:noWrap/>
            <w:vAlign w:val="bottom"/>
          </w:tcPr>
          <w:p w14:paraId="79EB988B" w14:textId="4A72D06C" w:rsidR="00AC465A" w:rsidRPr="009202F1" w:rsidRDefault="00AC465A" w:rsidP="00AC465A">
            <w:pPr>
              <w:rPr>
                <w:rFonts w:ascii="Calibri" w:hAnsi="Calibri"/>
                <w:color w:val="000000"/>
              </w:rPr>
            </w:pPr>
            <w:r>
              <w:rPr>
                <w:rFonts w:ascii="Calibri" w:hAnsi="Calibri" w:cs="Calibri"/>
                <w:color w:val="000000"/>
              </w:rPr>
              <w:t xml:space="preserve">              92,094 </w:t>
            </w:r>
          </w:p>
        </w:tc>
        <w:tc>
          <w:tcPr>
            <w:tcW w:w="2400" w:type="dxa"/>
            <w:tcBorders>
              <w:top w:val="nil"/>
              <w:left w:val="nil"/>
              <w:bottom w:val="single" w:sz="4" w:space="0" w:color="auto"/>
              <w:right w:val="single" w:sz="4" w:space="0" w:color="auto"/>
            </w:tcBorders>
            <w:shd w:val="clear" w:color="auto" w:fill="auto"/>
            <w:noWrap/>
            <w:vAlign w:val="bottom"/>
          </w:tcPr>
          <w:p w14:paraId="5E481816" w14:textId="2EEE99D0" w:rsidR="00AC465A" w:rsidRPr="009202F1" w:rsidRDefault="00AC465A" w:rsidP="00AC465A">
            <w:pPr>
              <w:rPr>
                <w:rFonts w:ascii="Calibri" w:hAnsi="Calibri"/>
                <w:color w:val="000000"/>
              </w:rPr>
            </w:pPr>
            <w:r>
              <w:rPr>
                <w:rFonts w:ascii="Calibri" w:hAnsi="Calibri" w:cs="Calibri"/>
                <w:color w:val="000000"/>
              </w:rPr>
              <w:t xml:space="preserve">              752,871 </w:t>
            </w:r>
          </w:p>
        </w:tc>
      </w:tr>
      <w:tr w:rsidR="00AC465A" w:rsidRPr="00863084" w14:paraId="2765CA41"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00256BAC" w14:textId="6A9EEC83" w:rsidR="00AC465A" w:rsidRPr="00863084" w:rsidRDefault="00AC465A" w:rsidP="00AC465A">
            <w:pPr>
              <w:jc w:val="right"/>
              <w:rPr>
                <w:rFonts w:ascii="Calibri" w:hAnsi="Calibri"/>
                <w:color w:val="000000"/>
              </w:rPr>
            </w:pPr>
            <w:r>
              <w:rPr>
                <w:rFonts w:ascii="Calibri" w:hAnsi="Calibri" w:cs="Calibri"/>
                <w:color w:val="000000"/>
              </w:rPr>
              <w:t>2030</w:t>
            </w:r>
          </w:p>
        </w:tc>
        <w:tc>
          <w:tcPr>
            <w:tcW w:w="2400" w:type="dxa"/>
            <w:tcBorders>
              <w:top w:val="nil"/>
              <w:left w:val="nil"/>
              <w:bottom w:val="single" w:sz="4" w:space="0" w:color="auto"/>
              <w:right w:val="single" w:sz="4" w:space="0" w:color="auto"/>
            </w:tcBorders>
            <w:shd w:val="clear" w:color="auto" w:fill="auto"/>
            <w:noWrap/>
            <w:vAlign w:val="bottom"/>
          </w:tcPr>
          <w:p w14:paraId="36A05BCF" w14:textId="128F8BDE" w:rsidR="00AC465A" w:rsidRPr="009202F1" w:rsidRDefault="00AC465A" w:rsidP="00AC465A">
            <w:pPr>
              <w:rPr>
                <w:rFonts w:ascii="Calibri" w:hAnsi="Calibri"/>
                <w:color w:val="000000"/>
              </w:rPr>
            </w:pPr>
            <w:r>
              <w:rPr>
                <w:rFonts w:ascii="Calibri" w:hAnsi="Calibri" w:cs="Calibri"/>
                <w:color w:val="000000"/>
              </w:rPr>
              <w:t xml:space="preserve">              13,292 </w:t>
            </w:r>
          </w:p>
        </w:tc>
        <w:tc>
          <w:tcPr>
            <w:tcW w:w="2400" w:type="dxa"/>
            <w:tcBorders>
              <w:top w:val="nil"/>
              <w:left w:val="nil"/>
              <w:bottom w:val="single" w:sz="4" w:space="0" w:color="auto"/>
              <w:right w:val="single" w:sz="4" w:space="0" w:color="auto"/>
            </w:tcBorders>
            <w:shd w:val="clear" w:color="auto" w:fill="auto"/>
            <w:noWrap/>
            <w:vAlign w:val="bottom"/>
          </w:tcPr>
          <w:p w14:paraId="40EEE220" w14:textId="27F58C2E" w:rsidR="00AC465A" w:rsidRPr="009202F1" w:rsidRDefault="00AC465A" w:rsidP="00AC465A">
            <w:pPr>
              <w:rPr>
                <w:rFonts w:ascii="Calibri" w:hAnsi="Calibri"/>
                <w:color w:val="000000"/>
              </w:rPr>
            </w:pPr>
            <w:r>
              <w:rPr>
                <w:rFonts w:ascii="Calibri" w:hAnsi="Calibri" w:cs="Calibri"/>
                <w:color w:val="000000"/>
              </w:rPr>
              <w:t xml:space="preserve">              766,163 </w:t>
            </w:r>
          </w:p>
        </w:tc>
      </w:tr>
      <w:tr w:rsidR="00AC465A" w:rsidRPr="00863084" w14:paraId="4747A4FC"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070CF748" w14:textId="1F72B920" w:rsidR="00AC465A" w:rsidRPr="00863084" w:rsidRDefault="00AC465A" w:rsidP="00AC465A">
            <w:pPr>
              <w:jc w:val="right"/>
              <w:rPr>
                <w:rFonts w:ascii="Calibri" w:hAnsi="Calibri"/>
                <w:color w:val="000000"/>
              </w:rPr>
            </w:pPr>
            <w:r>
              <w:rPr>
                <w:rFonts w:ascii="Calibri" w:hAnsi="Calibri" w:cs="Calibri"/>
                <w:color w:val="000000"/>
              </w:rPr>
              <w:t>2031</w:t>
            </w:r>
          </w:p>
        </w:tc>
        <w:tc>
          <w:tcPr>
            <w:tcW w:w="2400" w:type="dxa"/>
            <w:tcBorders>
              <w:top w:val="nil"/>
              <w:left w:val="nil"/>
              <w:bottom w:val="single" w:sz="4" w:space="0" w:color="auto"/>
              <w:right w:val="single" w:sz="4" w:space="0" w:color="auto"/>
            </w:tcBorders>
            <w:shd w:val="clear" w:color="auto" w:fill="auto"/>
            <w:noWrap/>
            <w:vAlign w:val="bottom"/>
          </w:tcPr>
          <w:p w14:paraId="17774C91" w14:textId="120F93F6" w:rsidR="00AC465A" w:rsidRPr="009202F1" w:rsidRDefault="00AC465A" w:rsidP="00AC465A">
            <w:pPr>
              <w:rPr>
                <w:rFonts w:ascii="Calibri" w:hAnsi="Calibri"/>
                <w:color w:val="000000"/>
              </w:rPr>
            </w:pPr>
            <w:r>
              <w:rPr>
                <w:rFonts w:ascii="Calibri" w:hAnsi="Calibri" w:cs="Calibri"/>
                <w:color w:val="000000"/>
              </w:rPr>
              <w:t xml:space="preserve">              22,885 </w:t>
            </w:r>
          </w:p>
        </w:tc>
        <w:tc>
          <w:tcPr>
            <w:tcW w:w="2400" w:type="dxa"/>
            <w:tcBorders>
              <w:top w:val="nil"/>
              <w:left w:val="nil"/>
              <w:bottom w:val="single" w:sz="4" w:space="0" w:color="auto"/>
              <w:right w:val="single" w:sz="4" w:space="0" w:color="auto"/>
            </w:tcBorders>
            <w:shd w:val="clear" w:color="auto" w:fill="auto"/>
            <w:noWrap/>
            <w:vAlign w:val="bottom"/>
          </w:tcPr>
          <w:p w14:paraId="56C10E1F" w14:textId="7AABF046" w:rsidR="00AC465A" w:rsidRPr="009202F1" w:rsidRDefault="00AC465A" w:rsidP="00AC465A">
            <w:pPr>
              <w:rPr>
                <w:rFonts w:ascii="Calibri" w:hAnsi="Calibri"/>
                <w:color w:val="000000"/>
              </w:rPr>
            </w:pPr>
            <w:r>
              <w:rPr>
                <w:rFonts w:ascii="Calibri" w:hAnsi="Calibri" w:cs="Calibri"/>
                <w:color w:val="000000"/>
              </w:rPr>
              <w:t xml:space="preserve">              789,048 </w:t>
            </w:r>
          </w:p>
        </w:tc>
      </w:tr>
      <w:tr w:rsidR="00AC465A" w:rsidRPr="00863084" w14:paraId="3C34D927"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22913CB4" w14:textId="53102610" w:rsidR="00AC465A" w:rsidRPr="00863084" w:rsidRDefault="00AC465A" w:rsidP="00AC465A">
            <w:pPr>
              <w:jc w:val="right"/>
              <w:rPr>
                <w:rFonts w:ascii="Calibri" w:hAnsi="Calibri"/>
                <w:color w:val="000000"/>
              </w:rPr>
            </w:pPr>
            <w:r>
              <w:rPr>
                <w:rFonts w:ascii="Calibri" w:hAnsi="Calibri" w:cs="Calibri"/>
                <w:color w:val="000000"/>
              </w:rPr>
              <w:t>2032</w:t>
            </w:r>
          </w:p>
        </w:tc>
        <w:tc>
          <w:tcPr>
            <w:tcW w:w="2400" w:type="dxa"/>
            <w:tcBorders>
              <w:top w:val="nil"/>
              <w:left w:val="nil"/>
              <w:bottom w:val="single" w:sz="4" w:space="0" w:color="auto"/>
              <w:right w:val="single" w:sz="4" w:space="0" w:color="auto"/>
            </w:tcBorders>
            <w:shd w:val="clear" w:color="auto" w:fill="auto"/>
            <w:noWrap/>
            <w:vAlign w:val="bottom"/>
          </w:tcPr>
          <w:p w14:paraId="38D2811C" w14:textId="312D9834" w:rsidR="00AC465A" w:rsidRPr="009202F1" w:rsidRDefault="00AC465A" w:rsidP="00AC465A">
            <w:pPr>
              <w:rPr>
                <w:rFonts w:ascii="Calibri" w:hAnsi="Calibri"/>
                <w:color w:val="000000"/>
              </w:rPr>
            </w:pPr>
            <w:r>
              <w:rPr>
                <w:rFonts w:ascii="Calibri" w:hAnsi="Calibri" w:cs="Calibri"/>
                <w:color w:val="000000"/>
              </w:rPr>
              <w:t xml:space="preserve">              22,885 </w:t>
            </w:r>
          </w:p>
        </w:tc>
        <w:tc>
          <w:tcPr>
            <w:tcW w:w="2400" w:type="dxa"/>
            <w:tcBorders>
              <w:top w:val="nil"/>
              <w:left w:val="nil"/>
              <w:bottom w:val="single" w:sz="4" w:space="0" w:color="auto"/>
              <w:right w:val="single" w:sz="4" w:space="0" w:color="auto"/>
            </w:tcBorders>
            <w:shd w:val="clear" w:color="auto" w:fill="auto"/>
            <w:noWrap/>
            <w:vAlign w:val="bottom"/>
          </w:tcPr>
          <w:p w14:paraId="7EAFE017" w14:textId="3D34D696" w:rsidR="00AC465A" w:rsidRPr="009202F1" w:rsidRDefault="00AC465A" w:rsidP="00AC465A">
            <w:pPr>
              <w:rPr>
                <w:rFonts w:ascii="Calibri" w:hAnsi="Calibri"/>
                <w:color w:val="000000"/>
              </w:rPr>
            </w:pPr>
            <w:r>
              <w:rPr>
                <w:rFonts w:ascii="Calibri" w:hAnsi="Calibri" w:cs="Calibri"/>
                <w:color w:val="000000"/>
              </w:rPr>
              <w:t xml:space="preserve">              811,933 </w:t>
            </w:r>
          </w:p>
        </w:tc>
      </w:tr>
      <w:tr w:rsidR="00AC465A" w:rsidRPr="00863084" w14:paraId="5422171E"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527B7E51" w14:textId="7119B08F" w:rsidR="00AC465A" w:rsidRPr="00863084" w:rsidRDefault="00AC465A" w:rsidP="00AC465A">
            <w:pPr>
              <w:jc w:val="right"/>
              <w:rPr>
                <w:rFonts w:ascii="Calibri" w:hAnsi="Calibri"/>
                <w:color w:val="000000"/>
              </w:rPr>
            </w:pPr>
            <w:r>
              <w:rPr>
                <w:rFonts w:ascii="Calibri" w:hAnsi="Calibri" w:cs="Calibri"/>
                <w:color w:val="000000"/>
              </w:rPr>
              <w:t>2033</w:t>
            </w:r>
          </w:p>
        </w:tc>
        <w:tc>
          <w:tcPr>
            <w:tcW w:w="2400" w:type="dxa"/>
            <w:tcBorders>
              <w:top w:val="nil"/>
              <w:left w:val="nil"/>
              <w:bottom w:val="single" w:sz="4" w:space="0" w:color="auto"/>
              <w:right w:val="single" w:sz="4" w:space="0" w:color="auto"/>
            </w:tcBorders>
            <w:shd w:val="clear" w:color="auto" w:fill="auto"/>
            <w:noWrap/>
            <w:vAlign w:val="bottom"/>
          </w:tcPr>
          <w:p w14:paraId="66A9B866" w14:textId="2F190E36" w:rsidR="00AC465A" w:rsidRPr="009202F1" w:rsidRDefault="00AC465A" w:rsidP="00AC465A">
            <w:pPr>
              <w:rPr>
                <w:rFonts w:ascii="Calibri" w:hAnsi="Calibri"/>
                <w:color w:val="000000"/>
              </w:rPr>
            </w:pPr>
            <w:r>
              <w:rPr>
                <w:rFonts w:ascii="Calibri" w:hAnsi="Calibri" w:cs="Calibri"/>
                <w:color w:val="000000"/>
              </w:rPr>
              <w:t xml:space="preserve">              22,885 </w:t>
            </w:r>
          </w:p>
        </w:tc>
        <w:tc>
          <w:tcPr>
            <w:tcW w:w="2400" w:type="dxa"/>
            <w:tcBorders>
              <w:top w:val="nil"/>
              <w:left w:val="nil"/>
              <w:bottom w:val="single" w:sz="4" w:space="0" w:color="auto"/>
              <w:right w:val="single" w:sz="4" w:space="0" w:color="auto"/>
            </w:tcBorders>
            <w:shd w:val="clear" w:color="auto" w:fill="auto"/>
            <w:noWrap/>
            <w:vAlign w:val="bottom"/>
          </w:tcPr>
          <w:p w14:paraId="18140C21" w14:textId="6F42FFA9" w:rsidR="00AC465A" w:rsidRPr="009202F1" w:rsidRDefault="00AC465A" w:rsidP="00AC465A">
            <w:pPr>
              <w:rPr>
                <w:rFonts w:ascii="Calibri" w:hAnsi="Calibri"/>
                <w:color w:val="000000"/>
              </w:rPr>
            </w:pPr>
            <w:r>
              <w:rPr>
                <w:rFonts w:ascii="Calibri" w:hAnsi="Calibri" w:cs="Calibri"/>
                <w:color w:val="000000"/>
              </w:rPr>
              <w:t xml:space="preserve">              834,818 </w:t>
            </w:r>
          </w:p>
        </w:tc>
      </w:tr>
      <w:tr w:rsidR="00AC465A" w:rsidRPr="00863084" w14:paraId="0CA1837E"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3ADDBE87" w14:textId="7C58023F" w:rsidR="00AC465A" w:rsidRPr="00863084" w:rsidRDefault="00AC465A" w:rsidP="00AC465A">
            <w:pPr>
              <w:jc w:val="right"/>
              <w:rPr>
                <w:rFonts w:ascii="Calibri" w:hAnsi="Calibri"/>
                <w:color w:val="000000"/>
              </w:rPr>
            </w:pPr>
            <w:r>
              <w:rPr>
                <w:rFonts w:ascii="Calibri" w:hAnsi="Calibri" w:cs="Calibri"/>
                <w:color w:val="000000"/>
              </w:rPr>
              <w:t>2034</w:t>
            </w:r>
          </w:p>
        </w:tc>
        <w:tc>
          <w:tcPr>
            <w:tcW w:w="2400" w:type="dxa"/>
            <w:tcBorders>
              <w:top w:val="nil"/>
              <w:left w:val="nil"/>
              <w:bottom w:val="single" w:sz="4" w:space="0" w:color="auto"/>
              <w:right w:val="single" w:sz="4" w:space="0" w:color="auto"/>
            </w:tcBorders>
            <w:shd w:val="clear" w:color="auto" w:fill="auto"/>
            <w:noWrap/>
            <w:vAlign w:val="bottom"/>
          </w:tcPr>
          <w:p w14:paraId="67E318B5" w14:textId="7856F29F" w:rsidR="00AC465A" w:rsidRPr="009202F1" w:rsidRDefault="00AC465A" w:rsidP="00AC465A">
            <w:pPr>
              <w:rPr>
                <w:rFonts w:ascii="Calibri" w:hAnsi="Calibri"/>
                <w:color w:val="000000"/>
              </w:rPr>
            </w:pPr>
            <w:r>
              <w:rPr>
                <w:rFonts w:ascii="Calibri" w:hAnsi="Calibri" w:cs="Calibri"/>
                <w:color w:val="000000"/>
              </w:rPr>
              <w:t xml:space="preserve">              31,597 </w:t>
            </w:r>
          </w:p>
        </w:tc>
        <w:tc>
          <w:tcPr>
            <w:tcW w:w="2400" w:type="dxa"/>
            <w:tcBorders>
              <w:top w:val="nil"/>
              <w:left w:val="nil"/>
              <w:bottom w:val="single" w:sz="4" w:space="0" w:color="auto"/>
              <w:right w:val="single" w:sz="4" w:space="0" w:color="auto"/>
            </w:tcBorders>
            <w:shd w:val="clear" w:color="auto" w:fill="auto"/>
            <w:noWrap/>
            <w:vAlign w:val="bottom"/>
          </w:tcPr>
          <w:p w14:paraId="0E37C587" w14:textId="3AA6C442" w:rsidR="00AC465A" w:rsidRPr="009202F1" w:rsidRDefault="00AC465A" w:rsidP="00AC465A">
            <w:pPr>
              <w:rPr>
                <w:rFonts w:ascii="Calibri" w:hAnsi="Calibri"/>
                <w:color w:val="000000"/>
              </w:rPr>
            </w:pPr>
            <w:r>
              <w:rPr>
                <w:rFonts w:ascii="Calibri" w:hAnsi="Calibri" w:cs="Calibri"/>
                <w:color w:val="000000"/>
              </w:rPr>
              <w:t xml:space="preserve">              866,415 </w:t>
            </w:r>
          </w:p>
        </w:tc>
      </w:tr>
      <w:tr w:rsidR="00AC465A" w:rsidRPr="00863084" w14:paraId="74E883D5"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2B3E3C23" w14:textId="09C21ABB" w:rsidR="00AC465A" w:rsidRPr="00863084" w:rsidRDefault="00AC465A" w:rsidP="00AC465A">
            <w:pPr>
              <w:jc w:val="right"/>
              <w:rPr>
                <w:rFonts w:ascii="Calibri" w:hAnsi="Calibri"/>
                <w:color w:val="000000"/>
              </w:rPr>
            </w:pPr>
            <w:r>
              <w:rPr>
                <w:rFonts w:ascii="Calibri" w:hAnsi="Calibri" w:cs="Calibri"/>
                <w:color w:val="000000"/>
              </w:rPr>
              <w:t>2035</w:t>
            </w:r>
          </w:p>
        </w:tc>
        <w:tc>
          <w:tcPr>
            <w:tcW w:w="2400" w:type="dxa"/>
            <w:tcBorders>
              <w:top w:val="nil"/>
              <w:left w:val="nil"/>
              <w:bottom w:val="single" w:sz="4" w:space="0" w:color="auto"/>
              <w:right w:val="single" w:sz="4" w:space="0" w:color="auto"/>
            </w:tcBorders>
            <w:shd w:val="clear" w:color="auto" w:fill="auto"/>
            <w:noWrap/>
            <w:vAlign w:val="bottom"/>
          </w:tcPr>
          <w:p w14:paraId="0D95C982" w14:textId="2AC3F39E" w:rsidR="00AC465A" w:rsidRPr="009202F1" w:rsidRDefault="00AC465A" w:rsidP="00AC465A">
            <w:pPr>
              <w:rPr>
                <w:rFonts w:ascii="Calibri" w:hAnsi="Calibri"/>
                <w:color w:val="000000"/>
              </w:rPr>
            </w:pPr>
            <w:r>
              <w:rPr>
                <w:rFonts w:ascii="Calibri" w:hAnsi="Calibri" w:cs="Calibri"/>
                <w:color w:val="000000"/>
              </w:rPr>
              <w:t xml:space="preserve">                      -   </w:t>
            </w:r>
          </w:p>
        </w:tc>
        <w:tc>
          <w:tcPr>
            <w:tcW w:w="2400" w:type="dxa"/>
            <w:tcBorders>
              <w:top w:val="nil"/>
              <w:left w:val="nil"/>
              <w:bottom w:val="single" w:sz="4" w:space="0" w:color="auto"/>
              <w:right w:val="single" w:sz="4" w:space="0" w:color="auto"/>
            </w:tcBorders>
            <w:shd w:val="clear" w:color="auto" w:fill="auto"/>
            <w:noWrap/>
            <w:vAlign w:val="bottom"/>
          </w:tcPr>
          <w:p w14:paraId="46603BF2" w14:textId="3A65AD7F" w:rsidR="00AC465A" w:rsidRPr="009202F1" w:rsidRDefault="00AC465A" w:rsidP="00AC465A">
            <w:pPr>
              <w:rPr>
                <w:rFonts w:ascii="Calibri" w:hAnsi="Calibri"/>
                <w:color w:val="000000"/>
              </w:rPr>
            </w:pPr>
            <w:r>
              <w:rPr>
                <w:rFonts w:ascii="Calibri" w:hAnsi="Calibri" w:cs="Calibri"/>
                <w:color w:val="000000"/>
              </w:rPr>
              <w:t xml:space="preserve">              866,415 </w:t>
            </w:r>
          </w:p>
        </w:tc>
      </w:tr>
      <w:tr w:rsidR="00AC465A" w:rsidRPr="00863084" w14:paraId="0CF32C3F"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1716892D" w14:textId="6ED5BC67" w:rsidR="00AC465A" w:rsidRPr="00863084" w:rsidRDefault="00AC465A" w:rsidP="00AC465A">
            <w:pPr>
              <w:jc w:val="right"/>
              <w:rPr>
                <w:rFonts w:ascii="Calibri" w:hAnsi="Calibri"/>
                <w:color w:val="000000"/>
              </w:rPr>
            </w:pPr>
            <w:r>
              <w:rPr>
                <w:rFonts w:ascii="Calibri" w:hAnsi="Calibri" w:cs="Calibri"/>
                <w:color w:val="000000"/>
              </w:rPr>
              <w:t>2036</w:t>
            </w:r>
          </w:p>
        </w:tc>
        <w:tc>
          <w:tcPr>
            <w:tcW w:w="2400" w:type="dxa"/>
            <w:tcBorders>
              <w:top w:val="nil"/>
              <w:left w:val="nil"/>
              <w:bottom w:val="single" w:sz="4" w:space="0" w:color="auto"/>
              <w:right w:val="single" w:sz="4" w:space="0" w:color="auto"/>
            </w:tcBorders>
            <w:shd w:val="clear" w:color="auto" w:fill="auto"/>
            <w:noWrap/>
            <w:vAlign w:val="bottom"/>
          </w:tcPr>
          <w:p w14:paraId="5699547E" w14:textId="69BDA458" w:rsidR="00AC465A" w:rsidRPr="009202F1" w:rsidRDefault="00AC465A" w:rsidP="00AC465A">
            <w:pPr>
              <w:rPr>
                <w:rFonts w:ascii="Calibri" w:hAnsi="Calibri"/>
                <w:color w:val="000000"/>
              </w:rPr>
            </w:pPr>
            <w:r>
              <w:rPr>
                <w:rFonts w:ascii="Calibri" w:hAnsi="Calibri" w:cs="Calibri"/>
                <w:color w:val="000000"/>
              </w:rPr>
              <w:t xml:space="preserve">                      -   </w:t>
            </w:r>
          </w:p>
        </w:tc>
        <w:tc>
          <w:tcPr>
            <w:tcW w:w="2400" w:type="dxa"/>
            <w:tcBorders>
              <w:top w:val="nil"/>
              <w:left w:val="nil"/>
              <w:bottom w:val="single" w:sz="4" w:space="0" w:color="auto"/>
              <w:right w:val="single" w:sz="4" w:space="0" w:color="auto"/>
            </w:tcBorders>
            <w:shd w:val="clear" w:color="auto" w:fill="auto"/>
            <w:noWrap/>
            <w:vAlign w:val="bottom"/>
          </w:tcPr>
          <w:p w14:paraId="534B5B1C" w14:textId="2B56C18D" w:rsidR="00AC465A" w:rsidRPr="009202F1" w:rsidRDefault="00AC465A" w:rsidP="00AC465A">
            <w:pPr>
              <w:rPr>
                <w:rFonts w:ascii="Calibri" w:hAnsi="Calibri"/>
                <w:color w:val="000000"/>
              </w:rPr>
            </w:pPr>
            <w:r>
              <w:rPr>
                <w:rFonts w:ascii="Calibri" w:hAnsi="Calibri" w:cs="Calibri"/>
                <w:color w:val="000000"/>
              </w:rPr>
              <w:t xml:space="preserve">              866,415 </w:t>
            </w:r>
          </w:p>
        </w:tc>
      </w:tr>
      <w:tr w:rsidR="00AC465A" w:rsidRPr="00863084" w14:paraId="210D1005"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67F53604" w14:textId="3578F2BD" w:rsidR="00AC465A" w:rsidRPr="00863084" w:rsidRDefault="00AC465A" w:rsidP="00AC465A">
            <w:pPr>
              <w:jc w:val="right"/>
              <w:rPr>
                <w:rFonts w:ascii="Calibri" w:hAnsi="Calibri"/>
                <w:color w:val="000000"/>
              </w:rPr>
            </w:pPr>
            <w:r>
              <w:rPr>
                <w:rFonts w:ascii="Calibri" w:hAnsi="Calibri" w:cs="Calibri"/>
                <w:color w:val="000000"/>
              </w:rPr>
              <w:t>2037</w:t>
            </w:r>
          </w:p>
        </w:tc>
        <w:tc>
          <w:tcPr>
            <w:tcW w:w="2400" w:type="dxa"/>
            <w:tcBorders>
              <w:top w:val="nil"/>
              <w:left w:val="nil"/>
              <w:bottom w:val="single" w:sz="4" w:space="0" w:color="auto"/>
              <w:right w:val="single" w:sz="4" w:space="0" w:color="auto"/>
            </w:tcBorders>
            <w:shd w:val="clear" w:color="auto" w:fill="auto"/>
            <w:noWrap/>
            <w:vAlign w:val="bottom"/>
          </w:tcPr>
          <w:p w14:paraId="45261C15" w14:textId="3A4C022F" w:rsidR="00AC465A" w:rsidRPr="009202F1" w:rsidRDefault="00AC465A" w:rsidP="00AC465A">
            <w:pPr>
              <w:rPr>
                <w:rFonts w:ascii="Calibri" w:hAnsi="Calibri"/>
                <w:color w:val="000000"/>
              </w:rPr>
            </w:pPr>
            <w:r>
              <w:rPr>
                <w:rFonts w:ascii="Calibri" w:hAnsi="Calibri" w:cs="Calibri"/>
                <w:color w:val="000000"/>
              </w:rPr>
              <w:t xml:space="preserve">                6,345 </w:t>
            </w:r>
          </w:p>
        </w:tc>
        <w:tc>
          <w:tcPr>
            <w:tcW w:w="2400" w:type="dxa"/>
            <w:tcBorders>
              <w:top w:val="nil"/>
              <w:left w:val="nil"/>
              <w:bottom w:val="single" w:sz="4" w:space="0" w:color="auto"/>
              <w:right w:val="single" w:sz="4" w:space="0" w:color="auto"/>
            </w:tcBorders>
            <w:shd w:val="clear" w:color="auto" w:fill="auto"/>
            <w:noWrap/>
            <w:vAlign w:val="bottom"/>
          </w:tcPr>
          <w:p w14:paraId="6210294B" w14:textId="44F6795D" w:rsidR="00AC465A" w:rsidRPr="009202F1" w:rsidRDefault="00AC465A" w:rsidP="00AC465A">
            <w:pPr>
              <w:rPr>
                <w:rFonts w:ascii="Calibri" w:hAnsi="Calibri"/>
                <w:color w:val="000000"/>
              </w:rPr>
            </w:pPr>
            <w:r>
              <w:rPr>
                <w:rFonts w:ascii="Calibri" w:hAnsi="Calibri" w:cs="Calibri"/>
                <w:color w:val="000000"/>
              </w:rPr>
              <w:t xml:space="preserve">              872,760 </w:t>
            </w:r>
          </w:p>
        </w:tc>
      </w:tr>
      <w:tr w:rsidR="00AC465A" w:rsidRPr="00863084" w14:paraId="563ABEF6"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0D2C4744" w14:textId="5A63FAD8" w:rsidR="00AC465A" w:rsidRPr="00863084" w:rsidRDefault="00AC465A" w:rsidP="00AC465A">
            <w:pPr>
              <w:jc w:val="right"/>
              <w:rPr>
                <w:rFonts w:ascii="Calibri" w:hAnsi="Calibri"/>
                <w:color w:val="000000"/>
              </w:rPr>
            </w:pPr>
            <w:r>
              <w:rPr>
                <w:rFonts w:ascii="Calibri" w:hAnsi="Calibri" w:cs="Calibri"/>
                <w:color w:val="000000"/>
              </w:rPr>
              <w:t>2038</w:t>
            </w:r>
          </w:p>
        </w:tc>
        <w:tc>
          <w:tcPr>
            <w:tcW w:w="2400" w:type="dxa"/>
            <w:tcBorders>
              <w:top w:val="nil"/>
              <w:left w:val="nil"/>
              <w:bottom w:val="single" w:sz="4" w:space="0" w:color="auto"/>
              <w:right w:val="single" w:sz="4" w:space="0" w:color="auto"/>
            </w:tcBorders>
            <w:shd w:val="clear" w:color="auto" w:fill="auto"/>
            <w:noWrap/>
            <w:vAlign w:val="bottom"/>
          </w:tcPr>
          <w:p w14:paraId="76B6BF10" w14:textId="3E9AB8B5" w:rsidR="00AC465A" w:rsidRPr="009202F1" w:rsidRDefault="00AC465A" w:rsidP="00AC465A">
            <w:pPr>
              <w:rPr>
                <w:rFonts w:ascii="Calibri" w:hAnsi="Calibri"/>
                <w:color w:val="000000"/>
              </w:rPr>
            </w:pPr>
            <w:r>
              <w:rPr>
                <w:rFonts w:ascii="Calibri" w:hAnsi="Calibri" w:cs="Calibri"/>
                <w:color w:val="000000"/>
              </w:rPr>
              <w:t xml:space="preserve">              22,406 </w:t>
            </w:r>
          </w:p>
        </w:tc>
        <w:tc>
          <w:tcPr>
            <w:tcW w:w="2400" w:type="dxa"/>
            <w:tcBorders>
              <w:top w:val="nil"/>
              <w:left w:val="nil"/>
              <w:bottom w:val="single" w:sz="4" w:space="0" w:color="auto"/>
              <w:right w:val="single" w:sz="4" w:space="0" w:color="auto"/>
            </w:tcBorders>
            <w:shd w:val="clear" w:color="auto" w:fill="auto"/>
            <w:noWrap/>
            <w:vAlign w:val="bottom"/>
          </w:tcPr>
          <w:p w14:paraId="5BCCADF7" w14:textId="50ACBC03" w:rsidR="00AC465A" w:rsidRPr="009202F1" w:rsidRDefault="00AC465A" w:rsidP="00AC465A">
            <w:pPr>
              <w:rPr>
                <w:rFonts w:ascii="Calibri" w:hAnsi="Calibri"/>
                <w:color w:val="000000"/>
              </w:rPr>
            </w:pPr>
            <w:r>
              <w:rPr>
                <w:rFonts w:ascii="Calibri" w:hAnsi="Calibri" w:cs="Calibri"/>
                <w:color w:val="000000"/>
              </w:rPr>
              <w:t xml:space="preserve">              895,166 </w:t>
            </w:r>
          </w:p>
        </w:tc>
      </w:tr>
      <w:tr w:rsidR="00AC465A" w:rsidRPr="00863084" w14:paraId="57565338" w14:textId="77777777" w:rsidTr="00E86A48">
        <w:trPr>
          <w:trHeight w:val="255"/>
        </w:trPr>
        <w:tc>
          <w:tcPr>
            <w:tcW w:w="2400" w:type="dxa"/>
            <w:tcBorders>
              <w:top w:val="nil"/>
              <w:left w:val="single" w:sz="4" w:space="0" w:color="auto"/>
              <w:bottom w:val="single" w:sz="4" w:space="0" w:color="auto"/>
              <w:right w:val="single" w:sz="4" w:space="0" w:color="auto"/>
            </w:tcBorders>
            <w:shd w:val="clear" w:color="auto" w:fill="auto"/>
            <w:noWrap/>
            <w:vAlign w:val="bottom"/>
          </w:tcPr>
          <w:p w14:paraId="26BCC23A" w14:textId="33069619" w:rsidR="00AC465A" w:rsidRPr="00863084" w:rsidRDefault="00AC465A" w:rsidP="00AC465A">
            <w:pPr>
              <w:jc w:val="right"/>
              <w:rPr>
                <w:rFonts w:ascii="Calibri" w:hAnsi="Calibri"/>
                <w:color w:val="000000"/>
              </w:rPr>
            </w:pPr>
            <w:r>
              <w:rPr>
                <w:rFonts w:ascii="Calibri" w:hAnsi="Calibri" w:cs="Calibri"/>
                <w:color w:val="000000"/>
              </w:rPr>
              <w:t>2039</w:t>
            </w:r>
          </w:p>
        </w:tc>
        <w:tc>
          <w:tcPr>
            <w:tcW w:w="2400" w:type="dxa"/>
            <w:tcBorders>
              <w:top w:val="nil"/>
              <w:left w:val="nil"/>
              <w:bottom w:val="single" w:sz="4" w:space="0" w:color="auto"/>
              <w:right w:val="single" w:sz="4" w:space="0" w:color="auto"/>
            </w:tcBorders>
            <w:shd w:val="clear" w:color="auto" w:fill="auto"/>
            <w:noWrap/>
            <w:vAlign w:val="bottom"/>
          </w:tcPr>
          <w:p w14:paraId="32740343" w14:textId="0DB5AB24" w:rsidR="00AC465A" w:rsidRPr="009202F1" w:rsidRDefault="00AC465A" w:rsidP="00AC465A">
            <w:pPr>
              <w:rPr>
                <w:rFonts w:ascii="Calibri" w:hAnsi="Calibri"/>
                <w:color w:val="000000"/>
              </w:rPr>
            </w:pPr>
            <w:r>
              <w:rPr>
                <w:rFonts w:ascii="Calibri" w:hAnsi="Calibri" w:cs="Calibri"/>
                <w:color w:val="000000"/>
              </w:rPr>
              <w:t xml:space="preserve">              22,406 </w:t>
            </w:r>
          </w:p>
        </w:tc>
        <w:tc>
          <w:tcPr>
            <w:tcW w:w="2400" w:type="dxa"/>
            <w:tcBorders>
              <w:top w:val="nil"/>
              <w:left w:val="nil"/>
              <w:bottom w:val="single" w:sz="4" w:space="0" w:color="auto"/>
              <w:right w:val="single" w:sz="4" w:space="0" w:color="auto"/>
            </w:tcBorders>
            <w:shd w:val="clear" w:color="auto" w:fill="auto"/>
            <w:noWrap/>
            <w:vAlign w:val="bottom"/>
          </w:tcPr>
          <w:p w14:paraId="27ADF32A" w14:textId="0D7334B6" w:rsidR="00AC465A" w:rsidRPr="009202F1" w:rsidRDefault="00AC465A" w:rsidP="00AC465A">
            <w:pPr>
              <w:rPr>
                <w:rFonts w:ascii="Calibri" w:hAnsi="Calibri"/>
                <w:color w:val="000000"/>
              </w:rPr>
            </w:pPr>
            <w:r>
              <w:rPr>
                <w:rFonts w:ascii="Calibri" w:hAnsi="Calibri" w:cs="Calibri"/>
                <w:color w:val="000000"/>
              </w:rPr>
              <w:t xml:space="preserve">              917,572 </w:t>
            </w:r>
          </w:p>
        </w:tc>
      </w:tr>
      <w:tr w:rsidR="00F50796" w:rsidRPr="00CC025B" w14:paraId="02694F9B" w14:textId="77777777" w:rsidTr="00417565">
        <w:trPr>
          <w:trHeight w:val="765"/>
        </w:trPr>
        <w:tc>
          <w:tcPr>
            <w:tcW w:w="2400" w:type="dxa"/>
            <w:tcBorders>
              <w:top w:val="nil"/>
              <w:left w:val="single" w:sz="4" w:space="0" w:color="auto"/>
              <w:bottom w:val="single" w:sz="4" w:space="0" w:color="auto"/>
              <w:right w:val="single" w:sz="4" w:space="0" w:color="auto"/>
            </w:tcBorders>
            <w:shd w:val="clear" w:color="000000" w:fill="F2F2F2"/>
            <w:hideMark/>
          </w:tcPr>
          <w:p w14:paraId="25C377B1" w14:textId="77777777" w:rsidR="00F50796" w:rsidRPr="00863084" w:rsidRDefault="00F50796" w:rsidP="00F50796">
            <w:pPr>
              <w:rPr>
                <w:rFonts w:ascii="Arial" w:eastAsia="Times New Roman" w:hAnsi="Arial" w:cs="Arial"/>
                <w:color w:val="000000"/>
                <w:sz w:val="20"/>
                <w:szCs w:val="20"/>
              </w:rPr>
            </w:pPr>
            <w:r w:rsidRPr="00863084">
              <w:rPr>
                <w:rFonts w:ascii="Arial" w:eastAsia="Times New Roman" w:hAnsi="Arial" w:cs="Arial"/>
                <w:color w:val="000000"/>
                <w:sz w:val="20"/>
                <w:szCs w:val="20"/>
              </w:rPr>
              <w:t>First Crediting Period Total</w:t>
            </w:r>
          </w:p>
        </w:tc>
        <w:tc>
          <w:tcPr>
            <w:tcW w:w="2400" w:type="dxa"/>
            <w:tcBorders>
              <w:top w:val="nil"/>
              <w:left w:val="nil"/>
              <w:bottom w:val="single" w:sz="4" w:space="0" w:color="auto"/>
              <w:right w:val="single" w:sz="4" w:space="0" w:color="auto"/>
            </w:tcBorders>
            <w:shd w:val="clear" w:color="000000" w:fill="F2F2F2"/>
            <w:noWrap/>
            <w:vAlign w:val="bottom"/>
          </w:tcPr>
          <w:p w14:paraId="56D38DCD" w14:textId="4FCD4985" w:rsidR="00F50796" w:rsidRPr="009202F1" w:rsidRDefault="00AC465A" w:rsidP="00F50796">
            <w:pPr>
              <w:jc w:val="center"/>
              <w:rPr>
                <w:rFonts w:ascii="Arial" w:eastAsia="Times New Roman" w:hAnsi="Arial" w:cs="Arial"/>
                <w:color w:val="000000"/>
                <w:sz w:val="20"/>
                <w:szCs w:val="20"/>
              </w:rPr>
            </w:pPr>
            <w:r>
              <w:rPr>
                <w:rFonts w:ascii="Calibri" w:hAnsi="Calibri" w:cs="Calibri"/>
                <w:color w:val="000000"/>
              </w:rPr>
              <w:t>917,572</w:t>
            </w:r>
          </w:p>
        </w:tc>
        <w:tc>
          <w:tcPr>
            <w:tcW w:w="2400" w:type="dxa"/>
            <w:tcBorders>
              <w:top w:val="nil"/>
              <w:left w:val="nil"/>
              <w:bottom w:val="single" w:sz="4" w:space="0" w:color="auto"/>
              <w:right w:val="single" w:sz="4" w:space="0" w:color="auto"/>
            </w:tcBorders>
            <w:shd w:val="clear" w:color="000000" w:fill="F2F2F2"/>
            <w:noWrap/>
            <w:vAlign w:val="bottom"/>
          </w:tcPr>
          <w:p w14:paraId="0CF3DCC6" w14:textId="118A59AC" w:rsidR="00F50796" w:rsidRPr="009202F1" w:rsidRDefault="00AC465A" w:rsidP="00F50796">
            <w:pPr>
              <w:jc w:val="center"/>
              <w:rPr>
                <w:rFonts w:ascii="Arial" w:eastAsia="Times New Roman" w:hAnsi="Arial" w:cs="Arial"/>
                <w:color w:val="000000"/>
                <w:sz w:val="20"/>
                <w:szCs w:val="20"/>
              </w:rPr>
            </w:pPr>
            <w:r>
              <w:rPr>
                <w:rFonts w:ascii="Calibri" w:hAnsi="Calibri" w:cs="Calibri"/>
                <w:color w:val="000000"/>
              </w:rPr>
              <w:t>917,572</w:t>
            </w:r>
          </w:p>
        </w:tc>
      </w:tr>
    </w:tbl>
    <w:p w14:paraId="1D1F9F37" w14:textId="77777777" w:rsidR="00C65129" w:rsidRPr="009F5103" w:rsidRDefault="00C65129" w:rsidP="00C65129"/>
    <w:p w14:paraId="4D434B90" w14:textId="77777777" w:rsidR="003F4848" w:rsidRPr="003F4848" w:rsidRDefault="003F4848" w:rsidP="00636121"/>
    <w:p w14:paraId="29B6C37B" w14:textId="77777777" w:rsidR="006424C5" w:rsidRDefault="006424C5" w:rsidP="006424C5">
      <w:pPr>
        <w:pStyle w:val="Heading2"/>
      </w:pPr>
      <w:bookmarkStart w:id="11" w:name="_Toc2243488"/>
      <w:r>
        <w:t>A</w:t>
      </w:r>
      <w:r w:rsidR="00091661">
        <w:t>8</w:t>
      </w:r>
      <w:r>
        <w:t>.</w:t>
      </w:r>
      <w:r w:rsidRPr="006424C5">
        <w:t xml:space="preserve"> PARTIES</w:t>
      </w:r>
      <w:bookmarkEnd w:id="11"/>
    </w:p>
    <w:p w14:paraId="63761C4D" w14:textId="77777777" w:rsidR="00B928A1" w:rsidRDefault="006424C5" w:rsidP="00580B7D">
      <w:pPr>
        <w:rPr>
          <w:i/>
        </w:rPr>
      </w:pPr>
      <w:r>
        <w:rPr>
          <w:i/>
        </w:rPr>
        <w:t>List full contact information, roles, and responsibilities for project proponent, other project participants, relevant regulator(s) and/or administrators of any GHG Program(s) in which the project is already enrolled, and the entities holding offset and land title (if applicable).</w:t>
      </w:r>
    </w:p>
    <w:p w14:paraId="3FFF71C9" w14:textId="0BF62EFE" w:rsidR="003F4848" w:rsidRDefault="003F4848" w:rsidP="00EA6A10">
      <w:pPr>
        <w:rPr>
          <w:i/>
          <w:lang w:val="fr-FR"/>
        </w:rPr>
      </w:pPr>
      <w:r w:rsidRPr="00863B70">
        <w:rPr>
          <w:i/>
          <w:lang w:val="fr-FR"/>
        </w:rPr>
        <w:t xml:space="preserve">Project Proponent </w:t>
      </w:r>
      <w:r w:rsidR="00D5105D">
        <w:rPr>
          <w:i/>
          <w:lang w:val="fr-FR"/>
        </w:rPr>
        <w:t>and landowner</w:t>
      </w:r>
      <w:r w:rsidR="00FB417C">
        <w:rPr>
          <w:i/>
          <w:lang w:val="fr-FR"/>
        </w:rPr>
        <w:t>, responsible for land management,</w:t>
      </w:r>
      <w:r w:rsidR="00D5105D">
        <w:rPr>
          <w:i/>
          <w:lang w:val="fr-FR"/>
        </w:rPr>
        <w:t xml:space="preserve"> </w:t>
      </w:r>
      <w:r w:rsidRPr="00863B70">
        <w:rPr>
          <w:i/>
          <w:lang w:val="fr-FR"/>
        </w:rPr>
        <w:t>contact information</w:t>
      </w:r>
      <w:r w:rsidR="00EA6A10" w:rsidRPr="00863B70">
        <w:rPr>
          <w:i/>
          <w:lang w:val="fr-FR"/>
        </w:rPr>
        <w:t>:</w:t>
      </w:r>
    </w:p>
    <w:p w14:paraId="473AFFCF" w14:textId="451710BE" w:rsidR="00E31596" w:rsidRDefault="00E31596" w:rsidP="00E919C8">
      <w:pPr>
        <w:rPr>
          <w:iCs/>
        </w:rPr>
      </w:pPr>
      <w:r>
        <w:rPr>
          <w:iCs/>
        </w:rPr>
        <w:t>University of Tennessee (UT)</w:t>
      </w:r>
    </w:p>
    <w:p w14:paraId="304441B9" w14:textId="173A8274" w:rsidR="00B52740" w:rsidRPr="00B52740" w:rsidRDefault="00B52740" w:rsidP="00B52740">
      <w:pPr>
        <w:rPr>
          <w:iCs/>
        </w:rPr>
      </w:pPr>
      <w:r w:rsidRPr="00B52740">
        <w:rPr>
          <w:iCs/>
        </w:rPr>
        <w:t>Cynthia Nichols, CPA</w:t>
      </w:r>
    </w:p>
    <w:p w14:paraId="459A136C" w14:textId="77777777" w:rsidR="00B52740" w:rsidRPr="00B52740" w:rsidRDefault="00B52740" w:rsidP="00B52740">
      <w:pPr>
        <w:rPr>
          <w:iCs/>
        </w:rPr>
      </w:pPr>
      <w:r w:rsidRPr="00B52740">
        <w:rPr>
          <w:iCs/>
        </w:rPr>
        <w:t>AgResearch Business Officer and Budget Director</w:t>
      </w:r>
    </w:p>
    <w:p w14:paraId="42E7FF6F" w14:textId="77777777" w:rsidR="00B52740" w:rsidRPr="00B52740" w:rsidRDefault="00B52740" w:rsidP="00B52740">
      <w:pPr>
        <w:rPr>
          <w:iCs/>
        </w:rPr>
      </w:pPr>
      <w:r w:rsidRPr="00B52740">
        <w:rPr>
          <w:iCs/>
        </w:rPr>
        <w:t>Tennessee Agricultural Experiment Station</w:t>
      </w:r>
    </w:p>
    <w:p w14:paraId="593F2010" w14:textId="77777777" w:rsidR="00B52740" w:rsidRPr="00B52740" w:rsidRDefault="00B52740" w:rsidP="00B52740">
      <w:pPr>
        <w:rPr>
          <w:iCs/>
        </w:rPr>
      </w:pPr>
      <w:r w:rsidRPr="00B52740">
        <w:rPr>
          <w:iCs/>
        </w:rPr>
        <w:t>2621 Morgan Circle, 103 Morgan Hall</w:t>
      </w:r>
    </w:p>
    <w:p w14:paraId="65BDDE60" w14:textId="77777777" w:rsidR="00B52740" w:rsidRPr="00B52740" w:rsidRDefault="00B52740" w:rsidP="00B52740">
      <w:pPr>
        <w:rPr>
          <w:iCs/>
        </w:rPr>
      </w:pPr>
      <w:r w:rsidRPr="00B52740">
        <w:rPr>
          <w:iCs/>
        </w:rPr>
        <w:t>Knoxville, TN  37996</w:t>
      </w:r>
    </w:p>
    <w:p w14:paraId="4008FD8A" w14:textId="77777777" w:rsidR="00B52740" w:rsidRPr="00B52740" w:rsidRDefault="00B52740" w:rsidP="00B52740">
      <w:pPr>
        <w:rPr>
          <w:iCs/>
        </w:rPr>
      </w:pPr>
      <w:r w:rsidRPr="00B52740">
        <w:rPr>
          <w:iCs/>
        </w:rPr>
        <w:t>Office:  865-974-7122</w:t>
      </w:r>
    </w:p>
    <w:p w14:paraId="1C30BE6B" w14:textId="14FCFC72" w:rsidR="00B52740" w:rsidRPr="00B52740" w:rsidRDefault="00B52740" w:rsidP="00B52740">
      <w:pPr>
        <w:rPr>
          <w:iCs/>
        </w:rPr>
      </w:pPr>
      <w:r w:rsidRPr="00B52740">
        <w:rPr>
          <w:iCs/>
        </w:rPr>
        <w:t>cnichols@utk.edu</w:t>
      </w:r>
    </w:p>
    <w:p w14:paraId="3F2F7D11" w14:textId="637ADB00" w:rsidR="00B52740" w:rsidRDefault="00B52740" w:rsidP="00E919C8">
      <w:pPr>
        <w:rPr>
          <w:iCs/>
        </w:rPr>
      </w:pPr>
    </w:p>
    <w:p w14:paraId="2EA7AD6C" w14:textId="77777777" w:rsidR="008760A3" w:rsidRPr="008760A3" w:rsidRDefault="008760A3" w:rsidP="008760A3">
      <w:pPr>
        <w:rPr>
          <w:i/>
          <w:iCs/>
        </w:rPr>
      </w:pPr>
      <w:r w:rsidRPr="008760A3">
        <w:rPr>
          <w:i/>
          <w:iCs/>
        </w:rPr>
        <w:t>Landowner contact</w:t>
      </w:r>
    </w:p>
    <w:p w14:paraId="71B4E704" w14:textId="61FE21A9" w:rsidR="008760A3" w:rsidRPr="00E919C8" w:rsidRDefault="008A468D" w:rsidP="008760A3">
      <w:pPr>
        <w:rPr>
          <w:iCs/>
        </w:rPr>
      </w:pPr>
      <w:r>
        <w:rPr>
          <w:iCs/>
        </w:rPr>
        <w:t xml:space="preserve">Kevin </w:t>
      </w:r>
      <w:r w:rsidR="008760A3" w:rsidRPr="00E919C8">
        <w:rPr>
          <w:iCs/>
        </w:rPr>
        <w:t>P. Hoyt, Ph.D., CF</w:t>
      </w:r>
    </w:p>
    <w:p w14:paraId="440F7C0A" w14:textId="77777777" w:rsidR="008760A3" w:rsidRPr="00E919C8" w:rsidRDefault="008760A3" w:rsidP="008760A3">
      <w:pPr>
        <w:rPr>
          <w:iCs/>
        </w:rPr>
      </w:pPr>
      <w:r w:rsidRPr="00E919C8">
        <w:rPr>
          <w:iCs/>
        </w:rPr>
        <w:t>Center Director</w:t>
      </w:r>
    </w:p>
    <w:p w14:paraId="21166194" w14:textId="77777777" w:rsidR="008760A3" w:rsidRPr="00E919C8" w:rsidRDefault="008760A3" w:rsidP="008760A3">
      <w:pPr>
        <w:rPr>
          <w:iCs/>
        </w:rPr>
      </w:pPr>
      <w:r w:rsidRPr="00E919C8">
        <w:rPr>
          <w:iCs/>
        </w:rPr>
        <w:t>UT Forest Resources AgResearch and Education Center</w:t>
      </w:r>
    </w:p>
    <w:p w14:paraId="72AA2B5A" w14:textId="77777777" w:rsidR="008760A3" w:rsidRPr="00E919C8" w:rsidRDefault="008760A3" w:rsidP="008760A3">
      <w:pPr>
        <w:rPr>
          <w:iCs/>
        </w:rPr>
      </w:pPr>
      <w:r w:rsidRPr="00E919C8">
        <w:rPr>
          <w:iCs/>
        </w:rPr>
        <w:t>901 S. Illinois Avenue</w:t>
      </w:r>
    </w:p>
    <w:p w14:paraId="054E0B91" w14:textId="77777777" w:rsidR="008760A3" w:rsidRPr="00E919C8" w:rsidRDefault="008760A3" w:rsidP="008760A3">
      <w:pPr>
        <w:rPr>
          <w:iCs/>
        </w:rPr>
      </w:pPr>
      <w:r w:rsidRPr="00E919C8">
        <w:rPr>
          <w:iCs/>
        </w:rPr>
        <w:t>Oak Ridge, TN  37830</w:t>
      </w:r>
    </w:p>
    <w:p w14:paraId="1E1E747F" w14:textId="77777777" w:rsidR="008760A3" w:rsidRDefault="008760A3" w:rsidP="008760A3">
      <w:pPr>
        <w:rPr>
          <w:iCs/>
        </w:rPr>
      </w:pPr>
      <w:r>
        <w:rPr>
          <w:iCs/>
        </w:rPr>
        <w:t xml:space="preserve">Email: </w:t>
      </w:r>
      <w:r w:rsidRPr="00384F14">
        <w:rPr>
          <w:iCs/>
        </w:rPr>
        <w:t>khoyt@utk.edu</w:t>
      </w:r>
    </w:p>
    <w:p w14:paraId="7B308A7B" w14:textId="77777777" w:rsidR="008760A3" w:rsidRPr="00E919C8" w:rsidRDefault="008760A3" w:rsidP="00E919C8">
      <w:pPr>
        <w:rPr>
          <w:iCs/>
        </w:rPr>
      </w:pPr>
    </w:p>
    <w:p w14:paraId="42B546E0" w14:textId="77777777" w:rsidR="00070330" w:rsidRDefault="00070330" w:rsidP="00C9133C">
      <w:pPr>
        <w:rPr>
          <w:i/>
          <w:lang w:val="fr-FR"/>
        </w:rPr>
      </w:pPr>
    </w:p>
    <w:p w14:paraId="23657842" w14:textId="77777777" w:rsidR="00070330" w:rsidRPr="00EA6A10" w:rsidRDefault="00070330" w:rsidP="00070330">
      <w:pPr>
        <w:rPr>
          <w:i/>
        </w:rPr>
      </w:pPr>
      <w:r w:rsidRPr="00EA6A10">
        <w:rPr>
          <w:i/>
        </w:rPr>
        <w:t xml:space="preserve">Offset project consultant or project developer </w:t>
      </w:r>
      <w:r>
        <w:rPr>
          <w:i/>
        </w:rPr>
        <w:t>contact information:</w:t>
      </w:r>
    </w:p>
    <w:p w14:paraId="4B578C6F" w14:textId="4EA196DE" w:rsidR="00FC0967" w:rsidRDefault="00C10658" w:rsidP="00FC0967">
      <w:r>
        <w:t xml:space="preserve">The Nature Conservancy </w:t>
      </w:r>
      <w:r w:rsidR="00FC0967">
        <w:t>(</w:t>
      </w:r>
      <w:r w:rsidR="00D03413">
        <w:t>TNC</w:t>
      </w:r>
      <w:r w:rsidR="00FC0967">
        <w:t>)</w:t>
      </w:r>
      <w:r w:rsidR="00FB417C">
        <w:t>, responsible for project coordination</w:t>
      </w:r>
    </w:p>
    <w:p w14:paraId="78B36293" w14:textId="27AF64A6" w:rsidR="00FC0967" w:rsidRDefault="00C10658" w:rsidP="00FC0967">
      <w:r>
        <w:t>Trisha Johnson</w:t>
      </w:r>
    </w:p>
    <w:p w14:paraId="7198B7E2" w14:textId="77777777" w:rsidR="00375A72" w:rsidRDefault="00C10658" w:rsidP="00C10658">
      <w:pPr>
        <w:rPr>
          <w:iCs/>
        </w:rPr>
      </w:pPr>
      <w:r w:rsidRPr="00B63452">
        <w:rPr>
          <w:iCs/>
        </w:rPr>
        <w:t>Director of Forest C</w:t>
      </w:r>
      <w:r w:rsidR="00375A72">
        <w:rPr>
          <w:iCs/>
        </w:rPr>
        <w:t>arbon Programs, Tennessee Business Unit</w:t>
      </w:r>
    </w:p>
    <w:p w14:paraId="40B0C368" w14:textId="039ED39C" w:rsidR="00C10658" w:rsidRPr="00B63452" w:rsidRDefault="00375A72" w:rsidP="00C10658">
      <w:pPr>
        <w:rPr>
          <w:iCs/>
        </w:rPr>
      </w:pPr>
      <w:r>
        <w:rPr>
          <w:iCs/>
        </w:rPr>
        <w:t>The Nature Conservancy</w:t>
      </w:r>
    </w:p>
    <w:p w14:paraId="07AD0F69" w14:textId="77777777" w:rsidR="00B52740" w:rsidRDefault="00B52740" w:rsidP="00C10658">
      <w:pPr>
        <w:rPr>
          <w:iCs/>
        </w:rPr>
      </w:pPr>
      <w:r w:rsidRPr="00B52740">
        <w:rPr>
          <w:iCs/>
        </w:rPr>
        <w:t xml:space="preserve">2 Maryland Farms Suite 150 </w:t>
      </w:r>
    </w:p>
    <w:p w14:paraId="3C001CD9" w14:textId="2DC86A65" w:rsidR="00C10658" w:rsidRPr="00B63452" w:rsidRDefault="00B52740" w:rsidP="00C10658">
      <w:r w:rsidRPr="00B52740">
        <w:rPr>
          <w:iCs/>
        </w:rPr>
        <w:t>Brentwood TN 37027</w:t>
      </w:r>
    </w:p>
    <w:p w14:paraId="0EB4F785" w14:textId="46E1B4CC" w:rsidR="00C10658" w:rsidRDefault="00CD0F97" w:rsidP="00FC0967">
      <w:pPr>
        <w:rPr>
          <w:u w:val="single"/>
        </w:rPr>
      </w:pPr>
      <w:r>
        <w:t xml:space="preserve">Email: </w:t>
      </w:r>
      <w:r w:rsidR="00384F14" w:rsidRPr="00384F14">
        <w:t>trisha_johnson@tnc.org</w:t>
      </w:r>
    </w:p>
    <w:p w14:paraId="170692E5" w14:textId="77777777" w:rsidR="00CD0F97" w:rsidRDefault="00CD0F97" w:rsidP="00FC0967"/>
    <w:p w14:paraId="2DE19712" w14:textId="6D4B92BC" w:rsidR="00732658" w:rsidRPr="00863B70" w:rsidRDefault="00732658" w:rsidP="00732658">
      <w:pPr>
        <w:rPr>
          <w:lang w:val="fr-FR"/>
        </w:rPr>
      </w:pPr>
      <w:r w:rsidRPr="00863B70">
        <w:rPr>
          <w:lang w:val="fr-FR"/>
        </w:rPr>
        <w:t>TerraCarbon LLC</w:t>
      </w:r>
      <w:r w:rsidR="00FB417C">
        <w:rPr>
          <w:lang w:val="fr-FR"/>
        </w:rPr>
        <w:t>, technical lead</w:t>
      </w:r>
    </w:p>
    <w:p w14:paraId="3030A11A" w14:textId="73E8A8F1" w:rsidR="003F4848" w:rsidRPr="00EA6A10" w:rsidRDefault="003F4848" w:rsidP="00EA6A10">
      <w:r w:rsidRPr="00EA6A10">
        <w:t>David Shoch</w:t>
      </w:r>
    </w:p>
    <w:p w14:paraId="54A12282" w14:textId="77777777" w:rsidR="003F4848" w:rsidRPr="00EA6A10" w:rsidRDefault="003F4848" w:rsidP="00EA6A10">
      <w:r w:rsidRPr="00EA6A10">
        <w:t xml:space="preserve">Director Forestry &amp; Technical Services </w:t>
      </w:r>
    </w:p>
    <w:p w14:paraId="0AC77CCE" w14:textId="77777777" w:rsidR="003F4848" w:rsidRPr="00863B70" w:rsidRDefault="00075CF7" w:rsidP="00EA6A10">
      <w:pPr>
        <w:rPr>
          <w:lang w:val="fr-FR"/>
        </w:rPr>
      </w:pPr>
      <w:hyperlink r:id="rId18" w:history="1">
        <w:r w:rsidR="003F4848" w:rsidRPr="00863B70">
          <w:rPr>
            <w:lang w:val="fr-FR"/>
          </w:rPr>
          <w:t>david.shoch@terracarbon.com</w:t>
        </w:r>
      </w:hyperlink>
    </w:p>
    <w:p w14:paraId="220BAB47" w14:textId="3EAAC30F" w:rsidR="003F4848" w:rsidRPr="00EA6A10" w:rsidRDefault="00B07C5E" w:rsidP="00EA6A10">
      <w:r>
        <w:t xml:space="preserve">707 E. Jefferson </w:t>
      </w:r>
      <w:r w:rsidR="003F4848" w:rsidRPr="00EA6A10">
        <w:t>Street</w:t>
      </w:r>
    </w:p>
    <w:p w14:paraId="34B67E5D" w14:textId="17B1A995" w:rsidR="003F4848" w:rsidRPr="00EA6A10" w:rsidRDefault="003F4848" w:rsidP="00EA6A10">
      <w:r w:rsidRPr="00EA6A10">
        <w:t>Charlottesville,</w:t>
      </w:r>
      <w:r w:rsidR="00EA6A10">
        <w:t xml:space="preserve"> </w:t>
      </w:r>
      <w:r w:rsidRPr="00EA6A10">
        <w:t>Virginia</w:t>
      </w:r>
      <w:r w:rsidR="00EA6A10">
        <w:t xml:space="preserve"> </w:t>
      </w:r>
      <w:r w:rsidR="00491422">
        <w:t>22902</w:t>
      </w:r>
    </w:p>
    <w:p w14:paraId="581A78C5" w14:textId="150E566D" w:rsidR="00A032A8" w:rsidRPr="003F4848" w:rsidRDefault="00B07C5E" w:rsidP="00EA6A10">
      <w:pPr>
        <w:rPr>
          <w:rFonts w:ascii="Arial" w:hAnsi="Arial" w:cs="Arial"/>
          <w:color w:val="000000"/>
          <w:sz w:val="24"/>
          <w:szCs w:val="24"/>
        </w:rPr>
        <w:sectPr w:rsidR="00A032A8" w:rsidRPr="003F4848" w:rsidSect="00D425F4">
          <w:footerReference w:type="default" r:id="rId19"/>
          <w:type w:val="oddPage"/>
          <w:pgSz w:w="12240" w:h="15840"/>
          <w:pgMar w:top="1440" w:right="1440" w:bottom="1440" w:left="1440" w:header="720" w:footer="144" w:gutter="0"/>
          <w:pgNumType w:start="1"/>
          <w:cols w:space="720"/>
          <w:docGrid w:linePitch="360"/>
        </w:sectPr>
      </w:pPr>
      <w:r>
        <w:t>Email: david.shoch@terracarbon.com</w:t>
      </w:r>
      <w:r w:rsidR="00580B7D">
        <w:rPr>
          <w:i/>
        </w:rPr>
        <w:br w:type="page"/>
      </w:r>
    </w:p>
    <w:p w14:paraId="0A98063F" w14:textId="77777777" w:rsidR="00580B7D" w:rsidRDefault="00580B7D" w:rsidP="00580B7D">
      <w:pPr>
        <w:rPr>
          <w:i/>
        </w:rPr>
      </w:pPr>
    </w:p>
    <w:p w14:paraId="435ED8CD" w14:textId="51590CC5" w:rsidR="00580B7D" w:rsidRDefault="00580B7D" w:rsidP="14694D8D">
      <w:pPr>
        <w:rPr>
          <w:i/>
          <w:iCs/>
        </w:rPr>
      </w:pPr>
    </w:p>
    <w:p w14:paraId="340537C7" w14:textId="257F6A0C" w:rsidR="14694D8D" w:rsidRDefault="14694D8D" w:rsidP="14694D8D">
      <w:pPr>
        <w:rPr>
          <w:i/>
          <w:iCs/>
        </w:rPr>
      </w:pPr>
    </w:p>
    <w:p w14:paraId="28B00897" w14:textId="77777777" w:rsidR="00B928A1" w:rsidRDefault="00546796" w:rsidP="006F54FC">
      <w:pPr>
        <w:pStyle w:val="Heading1"/>
      </w:pPr>
      <w:bookmarkStart w:id="12" w:name="_Toc2243489"/>
      <w:r>
        <w:t>B.</w:t>
      </w:r>
      <w:r w:rsidR="003B7D55">
        <w:br/>
      </w:r>
      <w:r w:rsidR="006424C5">
        <w:t>METHODOLOGY</w:t>
      </w:r>
      <w:bookmarkEnd w:id="12"/>
      <w:r w:rsidR="001A49C2">
        <w:t xml:space="preserve"> </w:t>
      </w:r>
      <w:r w:rsidR="00B928A1">
        <w:br w:type="page"/>
      </w:r>
    </w:p>
    <w:p w14:paraId="044653B6" w14:textId="77777777" w:rsidR="00947106" w:rsidRDefault="00947106" w:rsidP="00947106"/>
    <w:p w14:paraId="19063234" w14:textId="77777777" w:rsidR="00947106" w:rsidRPr="00B928A1" w:rsidRDefault="00546796" w:rsidP="000E23B0">
      <w:pPr>
        <w:pStyle w:val="Heading2"/>
      </w:pPr>
      <w:bookmarkStart w:id="13" w:name="_Toc2243490"/>
      <w:r>
        <w:t xml:space="preserve">B1. </w:t>
      </w:r>
      <w:r w:rsidR="006424C5">
        <w:t>APPROVED METHODOLOGY</w:t>
      </w:r>
      <w:bookmarkEnd w:id="13"/>
    </w:p>
    <w:p w14:paraId="1DC0BA80" w14:textId="6C8868A2" w:rsidR="00A42610" w:rsidRDefault="00075CF7" w:rsidP="00A42610">
      <w:hyperlink r:id="rId20" w:tooltip="IFM methodology for non-federal US forestlands published" w:history="1">
        <w:r w:rsidR="00A42610">
          <w:t>I</w:t>
        </w:r>
        <w:r w:rsidR="00A42610" w:rsidRPr="00A42610">
          <w:t>mproved Forest Management Methodology for Quantifying GHG Removals and Emission Reductions through Increased Forest Carbon Sequestration on Non-Federal U.S. Forestlands</w:t>
        </w:r>
      </w:hyperlink>
      <w:r w:rsidR="00124320">
        <w:t xml:space="preserve"> version 1.3</w:t>
      </w:r>
      <w:r w:rsidR="004E4CBF">
        <w:t xml:space="preserve"> (</w:t>
      </w:r>
      <w:r w:rsidR="00124320">
        <w:t>April 2018</w:t>
      </w:r>
      <w:r w:rsidR="004E4CBF">
        <w:t>).</w:t>
      </w:r>
    </w:p>
    <w:p w14:paraId="05BF9087" w14:textId="77777777" w:rsidR="009C0A5C" w:rsidRPr="00A42610" w:rsidRDefault="009C0A5C" w:rsidP="00A42610">
      <w:r>
        <w:t>(hereafter referred to as the “methodology”)</w:t>
      </w:r>
    </w:p>
    <w:p w14:paraId="21183E39" w14:textId="77777777" w:rsidR="00947106" w:rsidRPr="00B928A1" w:rsidRDefault="00546796" w:rsidP="000E23B0">
      <w:pPr>
        <w:pStyle w:val="Heading2"/>
      </w:pPr>
      <w:bookmarkStart w:id="14" w:name="_Toc2243491"/>
      <w:r>
        <w:t xml:space="preserve">B2. </w:t>
      </w:r>
      <w:r w:rsidR="009932E9">
        <w:t>METHODOLOGY JUSTIFICATION</w:t>
      </w:r>
      <w:bookmarkEnd w:id="14"/>
    </w:p>
    <w:p w14:paraId="3A17C682" w14:textId="30297746" w:rsidR="00E7228C" w:rsidRDefault="002E1A89" w:rsidP="00E7228C">
      <w:r>
        <w:t xml:space="preserve">The chosen methodology is appropriate for improved forest management on private lands in the U.S. </w:t>
      </w:r>
      <w:r w:rsidR="00E7228C">
        <w:t>Relevant applicability conditions and demonstration that they are met by the project are elaborated below.</w:t>
      </w:r>
    </w:p>
    <w:tbl>
      <w:tblPr>
        <w:tblStyle w:val="TableGrid"/>
        <w:tblW w:w="0" w:type="auto"/>
        <w:tblLook w:val="04A0" w:firstRow="1" w:lastRow="0" w:firstColumn="1" w:lastColumn="0" w:noHBand="0" w:noVBand="1"/>
      </w:tblPr>
      <w:tblGrid>
        <w:gridCol w:w="2387"/>
        <w:gridCol w:w="6963"/>
      </w:tblGrid>
      <w:tr w:rsidR="00BC25FF" w:rsidRPr="00D37214" w14:paraId="1A76B4CF" w14:textId="77777777" w:rsidTr="00072549">
        <w:trPr>
          <w:tblHeader/>
        </w:trPr>
        <w:tc>
          <w:tcPr>
            <w:tcW w:w="4788" w:type="dxa"/>
          </w:tcPr>
          <w:p w14:paraId="6202C339" w14:textId="77777777" w:rsidR="00BC25FF" w:rsidRPr="00D37214" w:rsidRDefault="00BC25FF" w:rsidP="00072549">
            <w:pPr>
              <w:autoSpaceDE w:val="0"/>
              <w:autoSpaceDN w:val="0"/>
              <w:adjustRightInd w:val="0"/>
              <w:rPr>
                <w:rFonts w:cstheme="minorHAnsi"/>
                <w:b/>
              </w:rPr>
            </w:pPr>
            <w:r w:rsidRPr="00D37214">
              <w:rPr>
                <w:rFonts w:cstheme="minorHAnsi"/>
                <w:b/>
              </w:rPr>
              <w:t>Methodology applicability conditions, referencing modifications currently in process, and likely to be accepted by ACR.</w:t>
            </w:r>
          </w:p>
        </w:tc>
        <w:tc>
          <w:tcPr>
            <w:tcW w:w="4788" w:type="dxa"/>
          </w:tcPr>
          <w:p w14:paraId="1F083F72" w14:textId="77777777" w:rsidR="00BC25FF" w:rsidRPr="00D37214" w:rsidRDefault="00BC25FF" w:rsidP="00072549">
            <w:pPr>
              <w:autoSpaceDE w:val="0"/>
              <w:autoSpaceDN w:val="0"/>
              <w:adjustRightInd w:val="0"/>
              <w:rPr>
                <w:rFonts w:cstheme="minorHAnsi"/>
                <w:b/>
              </w:rPr>
            </w:pPr>
            <w:r w:rsidRPr="00D37214">
              <w:rPr>
                <w:rFonts w:cstheme="minorHAnsi"/>
                <w:b/>
              </w:rPr>
              <w:t>Demonstration of compliance</w:t>
            </w:r>
          </w:p>
        </w:tc>
      </w:tr>
      <w:tr w:rsidR="00BC25FF" w:rsidRPr="00E264CD" w14:paraId="762DFF2E" w14:textId="77777777" w:rsidTr="00072549">
        <w:tc>
          <w:tcPr>
            <w:tcW w:w="4788" w:type="dxa"/>
          </w:tcPr>
          <w:p w14:paraId="57032C1C" w14:textId="77777777" w:rsidR="00BC25FF" w:rsidRPr="00D37214" w:rsidRDefault="00BC25FF" w:rsidP="00072549">
            <w:pPr>
              <w:autoSpaceDE w:val="0"/>
              <w:autoSpaceDN w:val="0"/>
              <w:adjustRightInd w:val="0"/>
              <w:rPr>
                <w:rFonts w:cstheme="minorHAnsi"/>
              </w:rPr>
            </w:pPr>
            <w:r w:rsidRPr="00D37214">
              <w:rPr>
                <w:rFonts w:cstheme="minorHAnsi"/>
              </w:rPr>
              <w:t>Applicable only on non‐federally owned forestland within the United States</w:t>
            </w:r>
          </w:p>
        </w:tc>
        <w:tc>
          <w:tcPr>
            <w:tcW w:w="4788" w:type="dxa"/>
          </w:tcPr>
          <w:p w14:paraId="2FC00FE1" w14:textId="2340D4F4" w:rsidR="00BC25FF" w:rsidRPr="00D37214" w:rsidRDefault="00BC25FF" w:rsidP="00072549">
            <w:pPr>
              <w:autoSpaceDE w:val="0"/>
              <w:autoSpaceDN w:val="0"/>
              <w:adjustRightInd w:val="0"/>
              <w:rPr>
                <w:rFonts w:cstheme="minorHAnsi"/>
              </w:rPr>
            </w:pPr>
            <w:r w:rsidRPr="00D37214">
              <w:rPr>
                <w:rFonts w:cstheme="minorHAnsi"/>
              </w:rPr>
              <w:t xml:space="preserve">The project area is </w:t>
            </w:r>
            <w:r w:rsidR="00090D6F">
              <w:rPr>
                <w:rFonts w:cstheme="minorHAnsi"/>
              </w:rPr>
              <w:t>state</w:t>
            </w:r>
            <w:r w:rsidRPr="00D37214">
              <w:rPr>
                <w:rFonts w:cstheme="minorHAnsi"/>
              </w:rPr>
              <w:t>-owned and located in the United States</w:t>
            </w:r>
          </w:p>
        </w:tc>
      </w:tr>
      <w:tr w:rsidR="00BC25FF" w:rsidRPr="00E264CD" w14:paraId="5B8DD8BD" w14:textId="77777777" w:rsidTr="00072549">
        <w:tc>
          <w:tcPr>
            <w:tcW w:w="4788" w:type="dxa"/>
          </w:tcPr>
          <w:p w14:paraId="5DA37CBF" w14:textId="77777777" w:rsidR="00BC25FF" w:rsidRPr="00D37214" w:rsidRDefault="00BC25FF" w:rsidP="00072549">
            <w:pPr>
              <w:autoSpaceDE w:val="0"/>
              <w:autoSpaceDN w:val="0"/>
              <w:adjustRightInd w:val="0"/>
              <w:rPr>
                <w:rFonts w:cstheme="minorHAnsi"/>
              </w:rPr>
            </w:pPr>
            <w:r w:rsidRPr="00D37214">
              <w:rPr>
                <w:rFonts w:cstheme="minorHAnsi"/>
              </w:rPr>
              <w:t>The methodology applies to lands that can be legally harvested by entities owning or controlling timber rights on forestland</w:t>
            </w:r>
          </w:p>
        </w:tc>
        <w:tc>
          <w:tcPr>
            <w:tcW w:w="4788" w:type="dxa"/>
          </w:tcPr>
          <w:p w14:paraId="63F5A119" w14:textId="0131C5C2" w:rsidR="00BC25FF" w:rsidRPr="00D37214" w:rsidRDefault="00090D6F" w:rsidP="00072549">
            <w:pPr>
              <w:autoSpaceDE w:val="0"/>
              <w:autoSpaceDN w:val="0"/>
              <w:adjustRightInd w:val="0"/>
              <w:rPr>
                <w:rFonts w:cstheme="minorHAnsi"/>
              </w:rPr>
            </w:pPr>
            <w:r>
              <w:rPr>
                <w:rFonts w:cstheme="minorHAnsi"/>
              </w:rPr>
              <w:t xml:space="preserve">UT </w:t>
            </w:r>
            <w:r w:rsidR="00BC25FF" w:rsidRPr="00D37214">
              <w:rPr>
                <w:rFonts w:cstheme="minorHAnsi"/>
              </w:rPr>
              <w:t xml:space="preserve">owns and controls timber rights to the property. </w:t>
            </w:r>
          </w:p>
          <w:p w14:paraId="613223A2" w14:textId="77777777" w:rsidR="00BC25FF" w:rsidRPr="00D37214" w:rsidRDefault="00BC25FF" w:rsidP="00072549">
            <w:pPr>
              <w:autoSpaceDE w:val="0"/>
              <w:autoSpaceDN w:val="0"/>
              <w:adjustRightInd w:val="0"/>
              <w:contextualSpacing/>
              <w:rPr>
                <w:rFonts w:cstheme="minorHAnsi"/>
              </w:rPr>
            </w:pPr>
          </w:p>
        </w:tc>
      </w:tr>
      <w:tr w:rsidR="00BC25FF" w:rsidRPr="00E264CD" w14:paraId="31841CF9" w14:textId="77777777" w:rsidTr="00072549">
        <w:tc>
          <w:tcPr>
            <w:tcW w:w="4788" w:type="dxa"/>
          </w:tcPr>
          <w:p w14:paraId="6BC0B129" w14:textId="77777777" w:rsidR="00BC25FF" w:rsidRPr="00D37214" w:rsidRDefault="00BC25FF" w:rsidP="00072549">
            <w:pPr>
              <w:autoSpaceDE w:val="0"/>
              <w:autoSpaceDN w:val="0"/>
              <w:adjustRightInd w:val="0"/>
              <w:rPr>
                <w:rFonts w:cstheme="minorHAnsi"/>
              </w:rPr>
            </w:pPr>
            <w:r w:rsidRPr="00D37214">
              <w:rPr>
                <w:rFonts w:cstheme="minorHAnsi"/>
              </w:rPr>
              <w:t>Private or non-governmental organization ownerships subject to timber harvesting in the with-project scenario must be certified by FSC, SFI, or ATFS or become certified within one year of the project Start Date</w:t>
            </w:r>
          </w:p>
        </w:tc>
        <w:tc>
          <w:tcPr>
            <w:tcW w:w="4788" w:type="dxa"/>
          </w:tcPr>
          <w:p w14:paraId="5A595E51" w14:textId="0BD920B2" w:rsidR="00BC25FF" w:rsidRPr="00D37214" w:rsidRDefault="00090D6F" w:rsidP="00072549">
            <w:pPr>
              <w:autoSpaceDE w:val="0"/>
              <w:autoSpaceDN w:val="0"/>
              <w:adjustRightInd w:val="0"/>
              <w:rPr>
                <w:rFonts w:cstheme="minorHAnsi"/>
              </w:rPr>
            </w:pPr>
            <w:r>
              <w:rPr>
                <w:rFonts w:cstheme="minorHAnsi"/>
              </w:rPr>
              <w:t>Not applicable</w:t>
            </w:r>
          </w:p>
        </w:tc>
      </w:tr>
      <w:tr w:rsidR="00BC25FF" w:rsidRPr="00D37214" w14:paraId="3550BAE6" w14:textId="77777777" w:rsidTr="00072549">
        <w:tc>
          <w:tcPr>
            <w:tcW w:w="4788" w:type="dxa"/>
          </w:tcPr>
          <w:p w14:paraId="3458443D" w14:textId="77777777" w:rsidR="00BC25FF" w:rsidRPr="00D37214" w:rsidRDefault="00BC25FF" w:rsidP="00072549">
            <w:pPr>
              <w:autoSpaceDE w:val="0"/>
              <w:autoSpaceDN w:val="0"/>
              <w:adjustRightInd w:val="0"/>
              <w:rPr>
                <w:rFonts w:cstheme="minorHAnsi"/>
              </w:rPr>
            </w:pPr>
            <w:r w:rsidRPr="00D37214">
              <w:rPr>
                <w:rFonts w:cstheme="minorHAnsi"/>
              </w:rPr>
              <w:t>All Tribal lands in the United States, except those lands that are managed or administered by the Bureau of Indian Affairs, are eligible under this methodology</w:t>
            </w:r>
          </w:p>
        </w:tc>
        <w:tc>
          <w:tcPr>
            <w:tcW w:w="4788" w:type="dxa"/>
          </w:tcPr>
          <w:p w14:paraId="393EB273" w14:textId="77777777" w:rsidR="00BC25FF" w:rsidRPr="00D37214" w:rsidRDefault="00BC25FF" w:rsidP="00072549">
            <w:pPr>
              <w:autoSpaceDE w:val="0"/>
              <w:autoSpaceDN w:val="0"/>
              <w:adjustRightInd w:val="0"/>
              <w:rPr>
                <w:rFonts w:cstheme="minorHAnsi"/>
              </w:rPr>
            </w:pPr>
            <w:r w:rsidRPr="00D37214">
              <w:rPr>
                <w:rFonts w:cstheme="minorHAnsi"/>
              </w:rPr>
              <w:t>Not applicable</w:t>
            </w:r>
          </w:p>
        </w:tc>
      </w:tr>
      <w:tr w:rsidR="00BC25FF" w:rsidRPr="00D37214" w14:paraId="2DFF3518" w14:textId="77777777" w:rsidTr="00072549">
        <w:tc>
          <w:tcPr>
            <w:tcW w:w="4788" w:type="dxa"/>
          </w:tcPr>
          <w:p w14:paraId="751ECA37" w14:textId="77777777" w:rsidR="00BC25FF" w:rsidRPr="00D37214" w:rsidRDefault="00BC25FF" w:rsidP="00072549">
            <w:pPr>
              <w:autoSpaceDE w:val="0"/>
              <w:autoSpaceDN w:val="0"/>
              <w:adjustRightInd w:val="0"/>
              <w:rPr>
                <w:rFonts w:cstheme="minorHAnsi"/>
              </w:rPr>
            </w:pPr>
            <w:r w:rsidRPr="00D37214">
              <w:rPr>
                <w:rFonts w:cstheme="minorHAnsi"/>
              </w:rPr>
              <w:t>If harvesting occurs in the with-project scenario on public non-federal ownerships, the property must:</w:t>
            </w:r>
          </w:p>
          <w:p w14:paraId="394096D1" w14:textId="77777777" w:rsidR="00BC25FF" w:rsidRPr="00D37214" w:rsidRDefault="00BC25FF" w:rsidP="00553144">
            <w:pPr>
              <w:pStyle w:val="ListParagraph"/>
              <w:numPr>
                <w:ilvl w:val="0"/>
                <w:numId w:val="1"/>
              </w:numPr>
              <w:autoSpaceDE w:val="0"/>
              <w:autoSpaceDN w:val="0"/>
              <w:adjustRightInd w:val="0"/>
              <w:contextualSpacing w:val="0"/>
              <w:rPr>
                <w:rFonts w:cstheme="minorHAnsi"/>
              </w:rPr>
            </w:pPr>
            <w:r w:rsidRPr="00D37214">
              <w:rPr>
                <w:rFonts w:cstheme="minorHAnsi"/>
              </w:rPr>
              <w:t>be certified by FSC, SFI, or ATFS or become certified within one year of the project Start Date; or</w:t>
            </w:r>
          </w:p>
          <w:p w14:paraId="7DE6AD0F" w14:textId="77777777" w:rsidR="00BC25FF" w:rsidRPr="00D37214" w:rsidRDefault="00BC25FF" w:rsidP="00553144">
            <w:pPr>
              <w:pStyle w:val="ListParagraph"/>
              <w:numPr>
                <w:ilvl w:val="0"/>
                <w:numId w:val="1"/>
              </w:numPr>
              <w:autoSpaceDE w:val="0"/>
              <w:autoSpaceDN w:val="0"/>
              <w:adjustRightInd w:val="0"/>
              <w:contextualSpacing w:val="0"/>
              <w:rPr>
                <w:rFonts w:cstheme="minorHAnsi"/>
              </w:rPr>
            </w:pPr>
            <w:r w:rsidRPr="00D37214">
              <w:rPr>
                <w:rFonts w:cstheme="minorHAnsi"/>
              </w:rPr>
              <w:t>have its forest management plan sanctioned by a unit of elected government officials within a state, or a state agency, or a federal agency;</w:t>
            </w:r>
          </w:p>
          <w:p w14:paraId="158A1030" w14:textId="77777777" w:rsidR="00BC25FF" w:rsidRPr="00D37214" w:rsidRDefault="00BC25FF" w:rsidP="00553144">
            <w:pPr>
              <w:pStyle w:val="ListParagraph"/>
              <w:numPr>
                <w:ilvl w:val="0"/>
                <w:numId w:val="1"/>
              </w:numPr>
              <w:autoSpaceDE w:val="0"/>
              <w:autoSpaceDN w:val="0"/>
              <w:adjustRightInd w:val="0"/>
              <w:contextualSpacing w:val="0"/>
              <w:rPr>
                <w:rFonts w:cstheme="minorHAnsi"/>
              </w:rPr>
            </w:pPr>
            <w:r w:rsidRPr="00D37214">
              <w:rPr>
                <w:rFonts w:cstheme="minorHAnsi"/>
              </w:rPr>
              <w:t>and have its forest management plan updated at minimum every 10 years.</w:t>
            </w:r>
          </w:p>
        </w:tc>
        <w:tc>
          <w:tcPr>
            <w:tcW w:w="4788" w:type="dxa"/>
          </w:tcPr>
          <w:p w14:paraId="6C9BBF1A" w14:textId="70E75BF7" w:rsidR="00BC25FF" w:rsidRPr="00D37214" w:rsidRDefault="00090D6F" w:rsidP="00072549">
            <w:pPr>
              <w:autoSpaceDE w:val="0"/>
              <w:autoSpaceDN w:val="0"/>
              <w:adjustRightInd w:val="0"/>
              <w:rPr>
                <w:rFonts w:cstheme="minorHAnsi"/>
              </w:rPr>
            </w:pPr>
            <w:r w:rsidRPr="00D37214">
              <w:rPr>
                <w:rFonts w:cstheme="minorHAnsi"/>
              </w:rPr>
              <w:t xml:space="preserve">The project area </w:t>
            </w:r>
            <w:r w:rsidR="00F022E9">
              <w:rPr>
                <w:rFonts w:ascii="Calibri" w:hAnsi="Calibri"/>
                <w:sz w:val="20"/>
                <w:szCs w:val="20"/>
              </w:rPr>
              <w:t xml:space="preserve">has FSC Certification as of October 19, 2020 </w:t>
            </w:r>
            <w:hyperlink r:id="rId21" w:history="1">
              <w:r w:rsidR="00F022E9" w:rsidRPr="00E760A1">
                <w:rPr>
                  <w:rStyle w:val="Hyperlink"/>
                  <w:rFonts w:ascii="Calibri" w:hAnsi="Calibri"/>
                </w:rPr>
                <w:t>https://info.fsc.org/details.php?id=a0240000005sSaVAAU&amp;type=certificate</w:t>
              </w:r>
            </w:hyperlink>
          </w:p>
        </w:tc>
      </w:tr>
      <w:tr w:rsidR="00BC25FF" w:rsidRPr="00E264CD" w14:paraId="557C65B3" w14:textId="77777777" w:rsidTr="00072549">
        <w:tc>
          <w:tcPr>
            <w:tcW w:w="4788" w:type="dxa"/>
          </w:tcPr>
          <w:p w14:paraId="32A49BE2" w14:textId="77777777" w:rsidR="00BC25FF" w:rsidRPr="00D37214" w:rsidRDefault="00BC25FF" w:rsidP="00072549">
            <w:pPr>
              <w:autoSpaceDE w:val="0"/>
              <w:autoSpaceDN w:val="0"/>
              <w:adjustRightInd w:val="0"/>
              <w:rPr>
                <w:rFonts w:cstheme="minorHAnsi"/>
              </w:rPr>
            </w:pPr>
            <w:r w:rsidRPr="00D37214">
              <w:rPr>
                <w:rFonts w:cstheme="minorHAnsi"/>
              </w:rPr>
              <w:t>Use of non‐native species is prohibited where adequately stocked native stands were converted for forestry or other land uses after 1997</w:t>
            </w:r>
          </w:p>
        </w:tc>
        <w:tc>
          <w:tcPr>
            <w:tcW w:w="4788" w:type="dxa"/>
          </w:tcPr>
          <w:p w14:paraId="6FFCEF7C" w14:textId="77777777" w:rsidR="00BC25FF" w:rsidRPr="00D37214" w:rsidRDefault="00BC25FF" w:rsidP="00072549">
            <w:pPr>
              <w:autoSpaceDE w:val="0"/>
              <w:autoSpaceDN w:val="0"/>
              <w:adjustRightInd w:val="0"/>
              <w:rPr>
                <w:rFonts w:cstheme="minorHAnsi"/>
              </w:rPr>
            </w:pPr>
            <w:r w:rsidRPr="00D37214">
              <w:rPr>
                <w:rFonts w:cstheme="minorHAnsi"/>
              </w:rPr>
              <w:t>The project area is composed entirely of native forest types and no non-native species will be planted.</w:t>
            </w:r>
          </w:p>
        </w:tc>
      </w:tr>
      <w:tr w:rsidR="00BC25FF" w:rsidRPr="00E264CD" w14:paraId="1DF107D9" w14:textId="77777777" w:rsidTr="00072549">
        <w:tc>
          <w:tcPr>
            <w:tcW w:w="4788" w:type="dxa"/>
          </w:tcPr>
          <w:p w14:paraId="20567565" w14:textId="77777777" w:rsidR="00BC25FF" w:rsidRPr="00D37214" w:rsidRDefault="00BC25FF" w:rsidP="00072549">
            <w:pPr>
              <w:autoSpaceDE w:val="0"/>
              <w:autoSpaceDN w:val="0"/>
              <w:adjustRightInd w:val="0"/>
              <w:rPr>
                <w:rFonts w:cstheme="minorHAnsi"/>
              </w:rPr>
            </w:pPr>
            <w:r w:rsidRPr="00D37214">
              <w:rPr>
                <w:rFonts w:cstheme="minorHAnsi"/>
              </w:rPr>
              <w:t>Draining or flooding of wetlands is prohibited</w:t>
            </w:r>
          </w:p>
        </w:tc>
        <w:tc>
          <w:tcPr>
            <w:tcW w:w="4788" w:type="dxa"/>
          </w:tcPr>
          <w:p w14:paraId="2FE276B7" w14:textId="77777777" w:rsidR="00BC25FF" w:rsidRPr="00D37214" w:rsidRDefault="00BC25FF" w:rsidP="00072549">
            <w:pPr>
              <w:autoSpaceDE w:val="0"/>
              <w:autoSpaceDN w:val="0"/>
              <w:adjustRightInd w:val="0"/>
              <w:rPr>
                <w:rFonts w:cstheme="minorHAnsi"/>
              </w:rPr>
            </w:pPr>
            <w:r w:rsidRPr="00D37214">
              <w:rPr>
                <w:rFonts w:cstheme="minorHAnsi"/>
              </w:rPr>
              <w:t>The project activity does not involve any hydrological manipulation of wetlands.</w:t>
            </w:r>
          </w:p>
        </w:tc>
      </w:tr>
      <w:tr w:rsidR="00BC25FF" w:rsidRPr="00E264CD" w14:paraId="3291F427" w14:textId="77777777" w:rsidTr="00072549">
        <w:tc>
          <w:tcPr>
            <w:tcW w:w="4788" w:type="dxa"/>
          </w:tcPr>
          <w:p w14:paraId="42C6E09B" w14:textId="457DF2B3" w:rsidR="00BC25FF" w:rsidRPr="00D37214" w:rsidRDefault="00BC25FF" w:rsidP="00072549">
            <w:pPr>
              <w:autoSpaceDE w:val="0"/>
              <w:autoSpaceDN w:val="0"/>
              <w:adjustRightInd w:val="0"/>
              <w:rPr>
                <w:rFonts w:cstheme="minorHAnsi"/>
              </w:rPr>
            </w:pPr>
            <w:r w:rsidRPr="00D37214">
              <w:rPr>
                <w:rFonts w:cstheme="minorHAnsi"/>
              </w:rPr>
              <w:t xml:space="preserve">Project proponent must demonstrate its ownership or control of timber rights </w:t>
            </w:r>
            <w:r w:rsidR="00213759">
              <w:rPr>
                <w:rFonts w:cstheme="minorHAnsi"/>
              </w:rPr>
              <w:t xml:space="preserve">at </w:t>
            </w:r>
            <w:r w:rsidRPr="00D37214">
              <w:rPr>
                <w:rFonts w:cstheme="minorHAnsi"/>
              </w:rPr>
              <w:t>the project start date</w:t>
            </w:r>
          </w:p>
        </w:tc>
        <w:tc>
          <w:tcPr>
            <w:tcW w:w="4788" w:type="dxa"/>
          </w:tcPr>
          <w:p w14:paraId="62A36CCE" w14:textId="22578064" w:rsidR="00BC25FF" w:rsidRPr="00D37214" w:rsidRDefault="00BC25FF" w:rsidP="00072549">
            <w:pPr>
              <w:autoSpaceDE w:val="0"/>
              <w:autoSpaceDN w:val="0"/>
              <w:adjustRightInd w:val="0"/>
              <w:rPr>
                <w:rFonts w:cstheme="minorHAnsi"/>
              </w:rPr>
            </w:pPr>
            <w:r w:rsidRPr="00D37214">
              <w:rPr>
                <w:rFonts w:cstheme="minorHAnsi"/>
              </w:rPr>
              <w:t xml:space="preserve">The project area has been under </w:t>
            </w:r>
            <w:r w:rsidR="00D57CA8">
              <w:rPr>
                <w:rFonts w:cstheme="minorHAnsi"/>
              </w:rPr>
              <w:t xml:space="preserve">UT </w:t>
            </w:r>
            <w:r w:rsidRPr="00D37214">
              <w:rPr>
                <w:rFonts w:cstheme="minorHAnsi"/>
              </w:rPr>
              <w:t xml:space="preserve">ownership </w:t>
            </w:r>
            <w:r w:rsidR="00805713">
              <w:rPr>
                <w:rFonts w:cstheme="minorHAnsi"/>
              </w:rPr>
              <w:t xml:space="preserve">as of the </w:t>
            </w:r>
            <w:r w:rsidR="00D57CA8">
              <w:rPr>
                <w:rFonts w:cstheme="minorHAnsi"/>
              </w:rPr>
              <w:t xml:space="preserve">November 26 2019 </w:t>
            </w:r>
            <w:r w:rsidR="00805713">
              <w:rPr>
                <w:rFonts w:cstheme="minorHAnsi"/>
              </w:rPr>
              <w:t xml:space="preserve">start date </w:t>
            </w:r>
            <w:r w:rsidR="00213759">
              <w:rPr>
                <w:rFonts w:cstheme="minorHAnsi"/>
              </w:rPr>
              <w:t xml:space="preserve">and continues under </w:t>
            </w:r>
            <w:r w:rsidR="00D57CA8">
              <w:rPr>
                <w:rFonts w:cstheme="minorHAnsi"/>
              </w:rPr>
              <w:t xml:space="preserve">UT </w:t>
            </w:r>
            <w:r w:rsidR="00213759">
              <w:rPr>
                <w:rFonts w:cstheme="minorHAnsi"/>
              </w:rPr>
              <w:t>ownership</w:t>
            </w:r>
            <w:r w:rsidRPr="00D37214">
              <w:rPr>
                <w:rFonts w:cstheme="minorHAnsi"/>
              </w:rPr>
              <w:t>.</w:t>
            </w:r>
          </w:p>
        </w:tc>
      </w:tr>
      <w:tr w:rsidR="00BC25FF" w:rsidRPr="00E264CD" w14:paraId="09AEF990" w14:textId="77777777" w:rsidTr="00072549">
        <w:tc>
          <w:tcPr>
            <w:tcW w:w="4788" w:type="dxa"/>
          </w:tcPr>
          <w:p w14:paraId="2450436D" w14:textId="77777777" w:rsidR="00BC25FF" w:rsidRPr="00D37214" w:rsidRDefault="00BC25FF" w:rsidP="00072549">
            <w:pPr>
              <w:autoSpaceDE w:val="0"/>
              <w:autoSpaceDN w:val="0"/>
              <w:adjustRightInd w:val="0"/>
              <w:rPr>
                <w:rFonts w:cstheme="minorHAnsi"/>
              </w:rPr>
            </w:pPr>
            <w:r w:rsidRPr="00D37214">
              <w:rPr>
                <w:rFonts w:cstheme="minorHAnsi"/>
              </w:rPr>
              <w:t>The project must demonstrate an increase in on‐site stocking levels above the baseline condition by the end of the Crediting Period</w:t>
            </w:r>
          </w:p>
        </w:tc>
        <w:tc>
          <w:tcPr>
            <w:tcW w:w="4788" w:type="dxa"/>
          </w:tcPr>
          <w:p w14:paraId="36377C79" w14:textId="1C13FB34" w:rsidR="00BC25FF" w:rsidRPr="00D37214" w:rsidRDefault="00BC25FF" w:rsidP="00072549">
            <w:pPr>
              <w:autoSpaceDE w:val="0"/>
              <w:autoSpaceDN w:val="0"/>
              <w:adjustRightInd w:val="0"/>
              <w:rPr>
                <w:rFonts w:cstheme="minorHAnsi"/>
              </w:rPr>
            </w:pPr>
            <w:r w:rsidRPr="00D37214">
              <w:rPr>
                <w:rFonts w:cstheme="minorHAnsi"/>
              </w:rPr>
              <w:t>The project is expected to increase on‐site stocking levels above the baseline condition by the end of the Crediting Period (consistent with FVS-</w:t>
            </w:r>
            <w:r w:rsidR="00934EB3">
              <w:rPr>
                <w:rFonts w:cstheme="minorHAnsi"/>
              </w:rPr>
              <w:t xml:space="preserve">SN </w:t>
            </w:r>
            <w:r w:rsidRPr="00D37214">
              <w:rPr>
                <w:rFonts w:cstheme="minorHAnsi"/>
              </w:rPr>
              <w:t>projections produced in this report)</w:t>
            </w:r>
          </w:p>
        </w:tc>
      </w:tr>
    </w:tbl>
    <w:p w14:paraId="41D1781E" w14:textId="533BDFBD" w:rsidR="00BC25FF" w:rsidRDefault="00BC25FF" w:rsidP="00E7228C"/>
    <w:p w14:paraId="55951968" w14:textId="77777777" w:rsidR="003F4CA8" w:rsidRPr="003F4CA8" w:rsidRDefault="003F4CA8" w:rsidP="003F4CA8"/>
    <w:p w14:paraId="53FC88E4" w14:textId="77777777" w:rsidR="00636121" w:rsidRPr="00B928A1" w:rsidRDefault="00636121" w:rsidP="00636121">
      <w:pPr>
        <w:pStyle w:val="Heading2"/>
      </w:pPr>
      <w:bookmarkStart w:id="15" w:name="_Toc2243492"/>
      <w:r>
        <w:t>B3. PROJECT BOUNDARIES</w:t>
      </w:r>
      <w:bookmarkEnd w:id="15"/>
    </w:p>
    <w:p w14:paraId="1A1C7211" w14:textId="776B4614" w:rsidR="000531F1" w:rsidRDefault="00FF30C2" w:rsidP="0082682A">
      <w:r>
        <w:t>The project area boundary is delineated in a shape file archived in the project database</w:t>
      </w:r>
      <w:r w:rsidR="00137F16">
        <w:t xml:space="preserve"> and illustrated above in Figure A1</w:t>
      </w:r>
      <w:r>
        <w:t xml:space="preserve">. </w:t>
      </w:r>
      <w:r w:rsidR="000531F1">
        <w:t>All a</w:t>
      </w:r>
      <w:r w:rsidR="000531F1" w:rsidRPr="000531F1">
        <w:t>reas qualify as “forestland” per the methodology definition of &gt;10% stocking</w:t>
      </w:r>
      <w:r w:rsidR="001E4382">
        <w:t xml:space="preserve"> (i.e. </w:t>
      </w:r>
      <w:r w:rsidR="000531F1" w:rsidRPr="000531F1">
        <w:t>roughly around &gt;8ft^2/acre basal area in trees &gt;5” dbh</w:t>
      </w:r>
      <w:r w:rsidR="001E4382">
        <w:t>), and not currently developed for non-forest uses</w:t>
      </w:r>
      <w:r w:rsidR="000531F1">
        <w:t>.</w:t>
      </w:r>
      <w:r>
        <w:t xml:space="preserve"> Non-forest land cover</w:t>
      </w:r>
      <w:r w:rsidR="001E4382">
        <w:t>/use</w:t>
      </w:r>
      <w:r>
        <w:t xml:space="preserve"> classes on the property were excluded.</w:t>
      </w:r>
    </w:p>
    <w:p w14:paraId="3AAA81E4" w14:textId="7616E162" w:rsidR="00580DCB" w:rsidRDefault="00580DCB" w:rsidP="00580DCB">
      <w:pPr>
        <w:rPr>
          <w:rFonts w:cstheme="minorHAnsi"/>
          <w:color w:val="0D0D0D" w:themeColor="text1" w:themeTint="F2"/>
        </w:rPr>
      </w:pPr>
      <w:r>
        <w:rPr>
          <w:rFonts w:cstheme="minorHAnsi"/>
          <w:color w:val="0D0D0D" w:themeColor="text1" w:themeTint="F2"/>
        </w:rPr>
        <w:t xml:space="preserve">The project area </w:t>
      </w:r>
      <w:r w:rsidRPr="00640C05">
        <w:rPr>
          <w:rFonts w:cstheme="minorHAnsi"/>
          <w:color w:val="0D0D0D" w:themeColor="text1" w:themeTint="F2"/>
        </w:rPr>
        <w:t xml:space="preserve">(file </w:t>
      </w:r>
      <w:r w:rsidR="009D7FEC" w:rsidRPr="003D0CE2">
        <w:t>“</w:t>
      </w:r>
      <w:r w:rsidR="009D7FEC">
        <w:t>UTK_Strata</w:t>
      </w:r>
      <w:r w:rsidR="007B126E">
        <w:t>*</w:t>
      </w:r>
      <w:r w:rsidR="009D7FEC" w:rsidRPr="003D0CE2">
        <w:t>.shp</w:t>
      </w:r>
      <w:r w:rsidR="009D7FEC" w:rsidRPr="003D0CE2" w:rsidDel="00E83F25">
        <w:t xml:space="preserve"> </w:t>
      </w:r>
      <w:r w:rsidR="009D7FEC" w:rsidRPr="003D0CE2">
        <w:t>”</w:t>
      </w:r>
      <w:r w:rsidR="00C37564" w:rsidRPr="00640C05">
        <w:rPr>
          <w:rFonts w:cstheme="minorHAnsi"/>
          <w:color w:val="0D0D0D" w:themeColor="text1" w:themeTint="F2"/>
        </w:rPr>
        <w:t xml:space="preserve">) </w:t>
      </w:r>
      <w:r>
        <w:rPr>
          <w:rFonts w:cstheme="minorHAnsi"/>
          <w:color w:val="0D0D0D" w:themeColor="text1" w:themeTint="F2"/>
        </w:rPr>
        <w:t>was delineated as follows:</w:t>
      </w:r>
      <w:r w:rsidRPr="008D4DD8">
        <w:rPr>
          <w:rFonts w:cstheme="minorHAnsi"/>
          <w:color w:val="0D0D0D" w:themeColor="text1" w:themeTint="F2"/>
        </w:rPr>
        <w:t xml:space="preserve"> </w:t>
      </w:r>
    </w:p>
    <w:p w14:paraId="066D6348" w14:textId="1EA06923" w:rsidR="00D2224D" w:rsidRPr="00D2224D" w:rsidRDefault="00D2224D" w:rsidP="00D2224D">
      <w:pPr>
        <w:rPr>
          <w:i/>
        </w:rPr>
      </w:pPr>
      <w:r w:rsidRPr="00D2224D">
        <w:rPr>
          <w:i/>
        </w:rPr>
        <w:t>Property boundary and Stratification Process</w:t>
      </w:r>
    </w:p>
    <w:p w14:paraId="2D8682B9" w14:textId="70ADCA8E" w:rsidR="00D2224D" w:rsidRDefault="00D2224D" w:rsidP="00D2224D">
      <w:r>
        <w:t xml:space="preserve">The UT property boundary shapefile was originally created by UT. The shapefile was reviewed against official plat maps of the UT property to ensure that the shapefile boundary lines matched up with the official deeds. Some minor adjustments were made to the UT boundary lines based on the plat maps, </w:t>
      </w:r>
      <w:r w:rsidR="00081F1A">
        <w:t>and observations of boundary lines made in the field</w:t>
      </w:r>
      <w:r>
        <w:t>. The properties were stratified based first on contiguous area. Cumberland North, Cumberland South, and Oak Ridge were each designated as their own stratum. Highland Rim was subdivided based on management and forest type as assessed by aerial imagery and ground-truthing in the field. The recently harvested area of Highland Rim was designated as Highland Rim Regen (HR_RG). The pine forest at Highland Rim was designated Highland Rim Pine (HR_PI), and the Highland Rim mixed hardwood forest was designated Highland Rim Hardwood (HR_HW).</w:t>
      </w:r>
    </w:p>
    <w:p w14:paraId="1C51AFB6" w14:textId="77777777" w:rsidR="00D2224D" w:rsidRDefault="00D2224D" w:rsidP="00D2224D"/>
    <w:p w14:paraId="04CE8BA9" w14:textId="36C6A87A" w:rsidR="00D2224D" w:rsidRPr="00D2224D" w:rsidRDefault="00D2224D" w:rsidP="00D2224D">
      <w:pPr>
        <w:rPr>
          <w:i/>
        </w:rPr>
      </w:pPr>
      <w:r w:rsidRPr="00D2224D">
        <w:rPr>
          <w:i/>
        </w:rPr>
        <w:t>SMZ Delineation Process</w:t>
      </w:r>
    </w:p>
    <w:p w14:paraId="02D08683" w14:textId="77777777" w:rsidR="00D2224D" w:rsidRDefault="00D2224D" w:rsidP="00D2224D">
      <w:r>
        <w:t>The State of Tennessee Best Management Practices</w:t>
      </w:r>
      <w:r>
        <w:rPr>
          <w:rStyle w:val="FootnoteReference"/>
        </w:rPr>
        <w:footnoteReference w:id="1"/>
      </w:r>
      <w:r>
        <w:t xml:space="preserve"> recommend that Streamside Management Zones (SMZ) are delineated around all perennial and intermittent bodies of water. Using the National Hydrography Dataset (NHD) provided by the USGS, we mapped perennial and intermittent streams and rivers using the ‘Flowline’ from the NHD geodatabase for the State of Tennessee</w:t>
      </w:r>
      <w:r>
        <w:rPr>
          <w:rStyle w:val="FootnoteReference"/>
        </w:rPr>
        <w:footnoteReference w:id="2"/>
      </w:r>
      <w:r>
        <w:t xml:space="preserve">. We selected attributes that designate each flowline section as FCODE ‘perennial’ and ‘intermittent’. We also included all water bodies in the ‘NHD Area’ layer. We conservatively delineated the maximum buffer distance of 145’ on either side of the center line for all water features included using aforementioned criteria. This buffer area was then designated as an SMZ for all strata. </w:t>
      </w:r>
    </w:p>
    <w:p w14:paraId="2B139E59" w14:textId="3E5DA3E7" w:rsidR="00D2224D" w:rsidRDefault="00D2224D" w:rsidP="00580DCB">
      <w:pPr>
        <w:rPr>
          <w:rFonts w:cstheme="minorHAnsi"/>
          <w:color w:val="0D0D0D" w:themeColor="text1" w:themeTint="F2"/>
        </w:rPr>
      </w:pPr>
    </w:p>
    <w:p w14:paraId="0F6834B7" w14:textId="77777777" w:rsidR="00DD2811" w:rsidRDefault="00DD2811" w:rsidP="009202F1">
      <w:pPr>
        <w:spacing w:after="160" w:line="259" w:lineRule="auto"/>
      </w:pPr>
    </w:p>
    <w:p w14:paraId="5050A47B" w14:textId="2D74ADE4" w:rsidR="001E4382" w:rsidRPr="000531F1" w:rsidRDefault="001E4382" w:rsidP="0082682A">
      <w:r>
        <w:t xml:space="preserve">The first project crediting period is from </w:t>
      </w:r>
      <w:r w:rsidR="00DD2811">
        <w:t xml:space="preserve">November 26 2019 </w:t>
      </w:r>
      <w:r>
        <w:t xml:space="preserve">to </w:t>
      </w:r>
      <w:r w:rsidR="00DD2811">
        <w:t>November 25 2039</w:t>
      </w:r>
      <w:r>
        <w:t xml:space="preserve">. The project term extends through </w:t>
      </w:r>
      <w:r w:rsidR="00DD2811">
        <w:t>November 25 2059</w:t>
      </w:r>
      <w:r>
        <w:t>.</w:t>
      </w:r>
    </w:p>
    <w:p w14:paraId="40C2E643" w14:textId="77777777" w:rsidR="00636121" w:rsidRPr="00B928A1" w:rsidRDefault="00636121" w:rsidP="00636121">
      <w:pPr>
        <w:pStyle w:val="Heading2"/>
      </w:pPr>
      <w:bookmarkStart w:id="16" w:name="_Toc2243493"/>
      <w:r>
        <w:t>B4. IDENTIFICATION OF GHG SOURCES AND SINKS</w:t>
      </w:r>
      <w:bookmarkEnd w:id="16"/>
    </w:p>
    <w:p w14:paraId="1008818B" w14:textId="77777777" w:rsidR="00A979DA" w:rsidRPr="003C263C" w:rsidRDefault="00A979DA" w:rsidP="00A979DA">
      <w:pPr>
        <w:spacing w:before="100" w:line="300" w:lineRule="exact"/>
        <w:rPr>
          <w:rFonts w:cs="Arial"/>
        </w:rPr>
      </w:pPr>
      <w:r w:rsidRPr="003C263C">
        <w:rPr>
          <w:rFonts w:cs="Arial"/>
        </w:rPr>
        <w:t xml:space="preserve">The project includes the carbon pools </w:t>
      </w:r>
      <w:r w:rsidRPr="003C263C">
        <w:rPr>
          <w:rFonts w:cs="Calibri"/>
        </w:rPr>
        <w:t>and GHG sources</w:t>
      </w:r>
      <w:r w:rsidRPr="003C263C">
        <w:rPr>
          <w:rFonts w:cs="Arial"/>
        </w:rPr>
        <w:t xml:space="preserve"> detailed in Table </w:t>
      </w:r>
      <w:r w:rsidR="00137F16">
        <w:rPr>
          <w:rFonts w:cs="Arial"/>
        </w:rPr>
        <w:t>B1</w:t>
      </w:r>
      <w:r w:rsidRPr="003C263C">
        <w:rPr>
          <w:rFonts w:cs="Arial"/>
        </w:rPr>
        <w:t xml:space="preserve">. </w:t>
      </w:r>
    </w:p>
    <w:p w14:paraId="315E65DF" w14:textId="77777777" w:rsidR="00A979DA" w:rsidRPr="003C263C" w:rsidRDefault="00A979DA" w:rsidP="00A979DA">
      <w:pPr>
        <w:spacing w:before="100" w:line="300" w:lineRule="exact"/>
        <w:rPr>
          <w:rFonts w:cs="Arial"/>
          <w:b/>
        </w:rPr>
      </w:pPr>
      <w:r w:rsidRPr="003C263C">
        <w:rPr>
          <w:rFonts w:cs="Arial"/>
          <w:b/>
        </w:rPr>
        <w:t xml:space="preserve">Table </w:t>
      </w:r>
      <w:r w:rsidR="00137F16">
        <w:rPr>
          <w:rFonts w:cs="Arial"/>
          <w:b/>
        </w:rPr>
        <w:t>B1</w:t>
      </w:r>
      <w:r w:rsidRPr="003C263C">
        <w:rPr>
          <w:rFonts w:cs="Arial"/>
          <w:b/>
        </w:rPr>
        <w:t>. Carbon Pools and GHG Emissions Sources Included in the Project Boundary.</w:t>
      </w:r>
    </w:p>
    <w:tbl>
      <w:tblPr>
        <w:tblW w:w="9780" w:type="dxa"/>
        <w:tblInd w:w="93" w:type="dxa"/>
        <w:tblLook w:val="0000" w:firstRow="0" w:lastRow="0" w:firstColumn="0" w:lastColumn="0" w:noHBand="0" w:noVBand="0"/>
      </w:tblPr>
      <w:tblGrid>
        <w:gridCol w:w="1960"/>
        <w:gridCol w:w="1840"/>
        <w:gridCol w:w="5980"/>
      </w:tblGrid>
      <w:tr w:rsidR="00A979DA" w:rsidRPr="003C263C" w14:paraId="2C2F056A" w14:textId="77777777" w:rsidTr="004223A0">
        <w:trPr>
          <w:trHeight w:val="270"/>
        </w:trPr>
        <w:tc>
          <w:tcPr>
            <w:tcW w:w="1960" w:type="dxa"/>
            <w:tcBorders>
              <w:top w:val="single" w:sz="8" w:space="0" w:color="000000"/>
              <w:left w:val="single" w:sz="8" w:space="0" w:color="000000"/>
              <w:bottom w:val="single" w:sz="8" w:space="0" w:color="000000"/>
              <w:right w:val="single" w:sz="8" w:space="0" w:color="000000"/>
            </w:tcBorders>
            <w:vAlign w:val="center"/>
          </w:tcPr>
          <w:p w14:paraId="0D76F495" w14:textId="77777777" w:rsidR="00A979DA" w:rsidRPr="003C263C" w:rsidRDefault="00A979DA" w:rsidP="004223A0">
            <w:pPr>
              <w:rPr>
                <w:rFonts w:cs="Arial"/>
                <w:b/>
              </w:rPr>
            </w:pPr>
            <w:r w:rsidRPr="003C263C">
              <w:rPr>
                <w:rFonts w:cs="Arial"/>
                <w:b/>
                <w:lang w:eastAsia="pt-BR"/>
              </w:rPr>
              <w:t xml:space="preserve">Carbon pools </w:t>
            </w:r>
          </w:p>
        </w:tc>
        <w:tc>
          <w:tcPr>
            <w:tcW w:w="1840" w:type="dxa"/>
            <w:tcBorders>
              <w:top w:val="single" w:sz="8" w:space="0" w:color="000000"/>
              <w:left w:val="nil"/>
              <w:bottom w:val="single" w:sz="8" w:space="0" w:color="000000"/>
              <w:right w:val="single" w:sz="8" w:space="0" w:color="000000"/>
            </w:tcBorders>
            <w:vAlign w:val="center"/>
          </w:tcPr>
          <w:p w14:paraId="2791A011" w14:textId="77777777" w:rsidR="00A979DA" w:rsidRPr="003C263C" w:rsidRDefault="00A979DA" w:rsidP="004223A0">
            <w:pPr>
              <w:rPr>
                <w:rFonts w:cs="Arial"/>
                <w:b/>
              </w:rPr>
            </w:pPr>
            <w:r w:rsidRPr="003C263C">
              <w:rPr>
                <w:rFonts w:cs="Arial"/>
                <w:b/>
                <w:lang w:eastAsia="pt-BR"/>
              </w:rPr>
              <w:t xml:space="preserve">Included / Excluded </w:t>
            </w:r>
          </w:p>
        </w:tc>
        <w:tc>
          <w:tcPr>
            <w:tcW w:w="5980" w:type="dxa"/>
            <w:tcBorders>
              <w:top w:val="single" w:sz="8" w:space="0" w:color="000000"/>
              <w:left w:val="nil"/>
              <w:bottom w:val="single" w:sz="8" w:space="0" w:color="000000"/>
              <w:right w:val="single" w:sz="8" w:space="0" w:color="000000"/>
            </w:tcBorders>
            <w:vAlign w:val="center"/>
          </w:tcPr>
          <w:p w14:paraId="18B67EE6" w14:textId="77777777" w:rsidR="00A979DA" w:rsidRPr="003C263C" w:rsidRDefault="00A979DA" w:rsidP="004223A0">
            <w:pPr>
              <w:rPr>
                <w:rFonts w:cs="Arial"/>
                <w:b/>
              </w:rPr>
            </w:pPr>
            <w:r w:rsidRPr="003C263C">
              <w:rPr>
                <w:rFonts w:cs="Arial"/>
                <w:b/>
                <w:lang w:eastAsia="pt-BR"/>
              </w:rPr>
              <w:t xml:space="preserve">Justification / Explanation of Choice </w:t>
            </w:r>
          </w:p>
        </w:tc>
      </w:tr>
      <w:tr w:rsidR="00A979DA" w:rsidRPr="003C263C" w14:paraId="05EA0FF7" w14:textId="77777777" w:rsidTr="004223A0">
        <w:trPr>
          <w:trHeight w:val="1035"/>
        </w:trPr>
        <w:tc>
          <w:tcPr>
            <w:tcW w:w="1960" w:type="dxa"/>
            <w:tcBorders>
              <w:top w:val="nil"/>
              <w:left w:val="single" w:sz="8" w:space="0" w:color="000000"/>
              <w:bottom w:val="single" w:sz="8" w:space="0" w:color="000000"/>
              <w:right w:val="single" w:sz="8" w:space="0" w:color="000000"/>
            </w:tcBorders>
            <w:vAlign w:val="center"/>
          </w:tcPr>
          <w:p w14:paraId="22EF6E67" w14:textId="77777777" w:rsidR="00A979DA" w:rsidRPr="003C263C" w:rsidRDefault="00A979DA" w:rsidP="004223A0">
            <w:pPr>
              <w:autoSpaceDE w:val="0"/>
              <w:autoSpaceDN w:val="0"/>
              <w:adjustRightInd w:val="0"/>
              <w:rPr>
                <w:rFonts w:cs="Calibri"/>
              </w:rPr>
            </w:pPr>
            <w:r w:rsidRPr="003C263C">
              <w:rPr>
                <w:rFonts w:cs="Calibri"/>
              </w:rPr>
              <w:t>Above‐ground biomass</w:t>
            </w:r>
          </w:p>
          <w:p w14:paraId="566B366A" w14:textId="77777777" w:rsidR="00A979DA" w:rsidRPr="003C263C" w:rsidRDefault="00A979DA" w:rsidP="004223A0">
            <w:pPr>
              <w:rPr>
                <w:rFonts w:cs="Arial"/>
              </w:rPr>
            </w:pPr>
            <w:r w:rsidRPr="003C263C">
              <w:rPr>
                <w:rFonts w:cs="Calibri"/>
              </w:rPr>
              <w:t>carbon</w:t>
            </w:r>
          </w:p>
        </w:tc>
        <w:tc>
          <w:tcPr>
            <w:tcW w:w="1840" w:type="dxa"/>
            <w:tcBorders>
              <w:top w:val="nil"/>
              <w:left w:val="nil"/>
              <w:bottom w:val="single" w:sz="8" w:space="0" w:color="000000"/>
              <w:right w:val="single" w:sz="8" w:space="0" w:color="000000"/>
            </w:tcBorders>
            <w:vAlign w:val="center"/>
          </w:tcPr>
          <w:p w14:paraId="6A1367E8" w14:textId="77777777" w:rsidR="00A979DA" w:rsidRPr="003C263C" w:rsidRDefault="00A979DA" w:rsidP="004223A0">
            <w:pPr>
              <w:rPr>
                <w:rFonts w:cs="Arial"/>
              </w:rPr>
            </w:pPr>
            <w:r w:rsidRPr="003C263C">
              <w:rPr>
                <w:rFonts w:cs="Arial"/>
              </w:rPr>
              <w:t xml:space="preserve">Included </w:t>
            </w:r>
          </w:p>
        </w:tc>
        <w:tc>
          <w:tcPr>
            <w:tcW w:w="5980" w:type="dxa"/>
            <w:tcBorders>
              <w:top w:val="nil"/>
              <w:left w:val="nil"/>
              <w:bottom w:val="single" w:sz="8" w:space="0" w:color="000000"/>
              <w:right w:val="single" w:sz="8" w:space="0" w:color="000000"/>
            </w:tcBorders>
            <w:vAlign w:val="center"/>
          </w:tcPr>
          <w:p w14:paraId="0586229A" w14:textId="407EDD75" w:rsidR="00A979DA" w:rsidRPr="003C263C" w:rsidRDefault="00A979DA" w:rsidP="004223A0">
            <w:pPr>
              <w:autoSpaceDE w:val="0"/>
              <w:autoSpaceDN w:val="0"/>
              <w:adjustRightInd w:val="0"/>
              <w:rPr>
                <w:rFonts w:cs="Calibri"/>
              </w:rPr>
            </w:pPr>
            <w:r w:rsidRPr="003C263C">
              <w:rPr>
                <w:rFonts w:cs="Calibri"/>
              </w:rPr>
              <w:t>Major carbon pool subjected to the project activity.</w:t>
            </w:r>
            <w:r w:rsidR="00AC6B6B">
              <w:rPr>
                <w:rFonts w:cs="Calibri"/>
              </w:rPr>
              <w:t xml:space="preserve"> The pr</w:t>
            </w:r>
            <w:r w:rsidR="00ED7FD1">
              <w:rPr>
                <w:rFonts w:cs="Calibri"/>
              </w:rPr>
              <w:t>oject employs a minimum dbh of 1</w:t>
            </w:r>
            <w:r w:rsidR="00AC6B6B">
              <w:rPr>
                <w:rFonts w:cs="Calibri"/>
              </w:rPr>
              <w:t>”.</w:t>
            </w:r>
          </w:p>
        </w:tc>
      </w:tr>
      <w:tr w:rsidR="00A979DA" w:rsidRPr="003C263C" w14:paraId="05FD67DF" w14:textId="77777777" w:rsidTr="004223A0">
        <w:trPr>
          <w:trHeight w:val="780"/>
        </w:trPr>
        <w:tc>
          <w:tcPr>
            <w:tcW w:w="1960" w:type="dxa"/>
            <w:tcBorders>
              <w:top w:val="nil"/>
              <w:left w:val="single" w:sz="8" w:space="0" w:color="000000"/>
              <w:bottom w:val="single" w:sz="8" w:space="0" w:color="000000"/>
              <w:right w:val="single" w:sz="8" w:space="0" w:color="000000"/>
            </w:tcBorders>
            <w:vAlign w:val="center"/>
          </w:tcPr>
          <w:p w14:paraId="7F733C09" w14:textId="77777777" w:rsidR="00A979DA" w:rsidRPr="003C263C" w:rsidRDefault="00A979DA" w:rsidP="004223A0">
            <w:pPr>
              <w:autoSpaceDE w:val="0"/>
              <w:autoSpaceDN w:val="0"/>
              <w:adjustRightInd w:val="0"/>
              <w:rPr>
                <w:rFonts w:cs="Calibri"/>
              </w:rPr>
            </w:pPr>
            <w:r w:rsidRPr="003C263C">
              <w:rPr>
                <w:rFonts w:cs="Calibri"/>
              </w:rPr>
              <w:t>Below‐ground biomass</w:t>
            </w:r>
          </w:p>
          <w:p w14:paraId="02D32626" w14:textId="77777777" w:rsidR="00A979DA" w:rsidRPr="003C263C" w:rsidRDefault="00A979DA" w:rsidP="004223A0">
            <w:pPr>
              <w:rPr>
                <w:rFonts w:cs="Arial"/>
              </w:rPr>
            </w:pPr>
            <w:r w:rsidRPr="003C263C">
              <w:rPr>
                <w:rFonts w:cs="Calibri"/>
              </w:rPr>
              <w:t>carbon</w:t>
            </w:r>
          </w:p>
        </w:tc>
        <w:tc>
          <w:tcPr>
            <w:tcW w:w="1840" w:type="dxa"/>
            <w:tcBorders>
              <w:top w:val="nil"/>
              <w:left w:val="nil"/>
              <w:bottom w:val="single" w:sz="8" w:space="0" w:color="000000"/>
              <w:right w:val="single" w:sz="8" w:space="0" w:color="000000"/>
            </w:tcBorders>
            <w:vAlign w:val="center"/>
          </w:tcPr>
          <w:p w14:paraId="796B4376" w14:textId="77777777" w:rsidR="00A979DA" w:rsidRPr="003C263C" w:rsidRDefault="00A979DA" w:rsidP="004223A0">
            <w:pPr>
              <w:rPr>
                <w:rFonts w:cs="Arial"/>
              </w:rPr>
            </w:pPr>
            <w:r w:rsidRPr="003C263C">
              <w:rPr>
                <w:rFonts w:cs="Arial"/>
              </w:rPr>
              <w:t xml:space="preserve">Included </w:t>
            </w:r>
          </w:p>
        </w:tc>
        <w:tc>
          <w:tcPr>
            <w:tcW w:w="5980" w:type="dxa"/>
            <w:tcBorders>
              <w:top w:val="nil"/>
              <w:left w:val="nil"/>
              <w:bottom w:val="single" w:sz="8" w:space="0" w:color="000000"/>
              <w:right w:val="single" w:sz="8" w:space="0" w:color="000000"/>
            </w:tcBorders>
            <w:vAlign w:val="center"/>
          </w:tcPr>
          <w:p w14:paraId="230806E6" w14:textId="063BB8E1" w:rsidR="00A979DA" w:rsidRPr="003C263C" w:rsidRDefault="00A979DA" w:rsidP="004223A0">
            <w:pPr>
              <w:rPr>
                <w:rFonts w:cs="Arial"/>
              </w:rPr>
            </w:pPr>
            <w:r w:rsidRPr="003C263C">
              <w:rPr>
                <w:rFonts w:cs="Calibri"/>
              </w:rPr>
              <w:t>Major carbon pool subjected to the project activity.</w:t>
            </w:r>
            <w:r w:rsidR="00AC6B6B">
              <w:rPr>
                <w:rFonts w:cs="Calibri"/>
              </w:rPr>
              <w:t xml:space="preserve"> The pr</w:t>
            </w:r>
            <w:r w:rsidR="00ED7FD1">
              <w:rPr>
                <w:rFonts w:cs="Calibri"/>
              </w:rPr>
              <w:t>oject employs a minimum dbh of 1</w:t>
            </w:r>
            <w:r w:rsidR="00AC6B6B">
              <w:rPr>
                <w:rFonts w:cs="Calibri"/>
              </w:rPr>
              <w:t>”.</w:t>
            </w:r>
          </w:p>
        </w:tc>
      </w:tr>
      <w:tr w:rsidR="00A979DA" w:rsidRPr="003C263C" w14:paraId="7862C970" w14:textId="77777777" w:rsidTr="004223A0">
        <w:trPr>
          <w:trHeight w:val="525"/>
        </w:trPr>
        <w:tc>
          <w:tcPr>
            <w:tcW w:w="1960" w:type="dxa"/>
            <w:tcBorders>
              <w:top w:val="nil"/>
              <w:left w:val="single" w:sz="8" w:space="0" w:color="000000"/>
              <w:bottom w:val="single" w:sz="8" w:space="0" w:color="000000"/>
              <w:right w:val="single" w:sz="8" w:space="0" w:color="000000"/>
            </w:tcBorders>
            <w:vAlign w:val="center"/>
          </w:tcPr>
          <w:p w14:paraId="65867FF8" w14:textId="77777777" w:rsidR="00A979DA" w:rsidRPr="003C263C" w:rsidRDefault="00A979DA" w:rsidP="004223A0">
            <w:pPr>
              <w:rPr>
                <w:rFonts w:cs="Arial"/>
              </w:rPr>
            </w:pPr>
            <w:r w:rsidRPr="003C263C">
              <w:rPr>
                <w:rFonts w:cs="Arial"/>
                <w:lang w:eastAsia="pt-BR"/>
              </w:rPr>
              <w:t xml:space="preserve">Standing Dead Wood </w:t>
            </w:r>
          </w:p>
        </w:tc>
        <w:tc>
          <w:tcPr>
            <w:tcW w:w="1840" w:type="dxa"/>
            <w:tcBorders>
              <w:top w:val="nil"/>
              <w:left w:val="nil"/>
              <w:bottom w:val="single" w:sz="8" w:space="0" w:color="000000"/>
              <w:right w:val="single" w:sz="8" w:space="0" w:color="000000"/>
            </w:tcBorders>
            <w:vAlign w:val="center"/>
          </w:tcPr>
          <w:p w14:paraId="73E84281" w14:textId="5DD19D5C" w:rsidR="00A979DA" w:rsidRPr="003C263C" w:rsidRDefault="001C06C8" w:rsidP="004223A0">
            <w:pPr>
              <w:rPr>
                <w:rFonts w:cs="Arial"/>
              </w:rPr>
            </w:pPr>
            <w:r>
              <w:rPr>
                <w:rFonts w:cs="Arial"/>
                <w:lang w:val="pt-BR"/>
              </w:rPr>
              <w:t>Included</w:t>
            </w:r>
          </w:p>
        </w:tc>
        <w:tc>
          <w:tcPr>
            <w:tcW w:w="5980" w:type="dxa"/>
            <w:tcBorders>
              <w:top w:val="nil"/>
              <w:left w:val="nil"/>
              <w:bottom w:val="single" w:sz="8" w:space="0" w:color="000000"/>
              <w:right w:val="single" w:sz="8" w:space="0" w:color="000000"/>
            </w:tcBorders>
            <w:vAlign w:val="center"/>
          </w:tcPr>
          <w:p w14:paraId="304C40E8" w14:textId="671C4FF4" w:rsidR="00A979DA" w:rsidRPr="003C263C" w:rsidRDefault="001C06C8" w:rsidP="004223A0">
            <w:pPr>
              <w:rPr>
                <w:rFonts w:cs="Arial"/>
              </w:rPr>
            </w:pPr>
            <w:r w:rsidRPr="003C263C">
              <w:rPr>
                <w:rFonts w:cs="Calibri"/>
              </w:rPr>
              <w:t>Major carbon pool subjected to the project activity.</w:t>
            </w:r>
            <w:r>
              <w:rPr>
                <w:rFonts w:cs="Calibri"/>
              </w:rPr>
              <w:t xml:space="preserve"> The pr</w:t>
            </w:r>
            <w:r w:rsidR="00ED7FD1">
              <w:rPr>
                <w:rFonts w:cs="Calibri"/>
              </w:rPr>
              <w:t>oject employs a</w:t>
            </w:r>
            <w:r w:rsidR="008F7FCE">
              <w:rPr>
                <w:rFonts w:cs="Calibri"/>
              </w:rPr>
              <w:t xml:space="preserve"> minimum dbh of 5</w:t>
            </w:r>
            <w:r>
              <w:rPr>
                <w:rFonts w:cs="Calibri"/>
              </w:rPr>
              <w:t>”.</w:t>
            </w:r>
          </w:p>
        </w:tc>
      </w:tr>
      <w:tr w:rsidR="00A979DA" w:rsidRPr="003C263C" w14:paraId="22EECC69" w14:textId="77777777" w:rsidTr="004223A0">
        <w:trPr>
          <w:trHeight w:val="525"/>
        </w:trPr>
        <w:tc>
          <w:tcPr>
            <w:tcW w:w="1960" w:type="dxa"/>
            <w:tcBorders>
              <w:top w:val="nil"/>
              <w:left w:val="single" w:sz="8" w:space="0" w:color="000000"/>
              <w:bottom w:val="single" w:sz="8" w:space="0" w:color="000000"/>
              <w:right w:val="single" w:sz="8" w:space="0" w:color="000000"/>
            </w:tcBorders>
            <w:vAlign w:val="center"/>
          </w:tcPr>
          <w:p w14:paraId="00D6C0A2" w14:textId="77777777" w:rsidR="00A979DA" w:rsidRPr="003C263C" w:rsidRDefault="00A979DA" w:rsidP="004223A0">
            <w:pPr>
              <w:rPr>
                <w:rFonts w:cs="Arial"/>
                <w:lang w:eastAsia="pt-BR"/>
              </w:rPr>
            </w:pPr>
            <w:r w:rsidRPr="003C263C">
              <w:rPr>
                <w:rFonts w:cs="Arial"/>
                <w:lang w:eastAsia="pt-BR"/>
              </w:rPr>
              <w:t xml:space="preserve">Lying Dead Wood </w:t>
            </w:r>
          </w:p>
        </w:tc>
        <w:tc>
          <w:tcPr>
            <w:tcW w:w="1840" w:type="dxa"/>
            <w:tcBorders>
              <w:top w:val="nil"/>
              <w:left w:val="nil"/>
              <w:bottom w:val="single" w:sz="8" w:space="0" w:color="000000"/>
              <w:right w:val="single" w:sz="8" w:space="0" w:color="000000"/>
            </w:tcBorders>
            <w:vAlign w:val="center"/>
          </w:tcPr>
          <w:p w14:paraId="49A8AC8A" w14:textId="77777777" w:rsidR="00A979DA" w:rsidRPr="003C263C" w:rsidRDefault="00A979DA" w:rsidP="004223A0">
            <w:pPr>
              <w:rPr>
                <w:rFonts w:cs="Arial"/>
                <w:lang w:val="pt-BR"/>
              </w:rPr>
            </w:pPr>
            <w:r w:rsidRPr="003C263C">
              <w:rPr>
                <w:rFonts w:cs="Arial"/>
                <w:lang w:val="pt-BR"/>
              </w:rPr>
              <w:t>Excluded</w:t>
            </w:r>
          </w:p>
        </w:tc>
        <w:tc>
          <w:tcPr>
            <w:tcW w:w="5980" w:type="dxa"/>
            <w:tcBorders>
              <w:top w:val="nil"/>
              <w:left w:val="nil"/>
              <w:bottom w:val="single" w:sz="8" w:space="0" w:color="000000"/>
              <w:right w:val="single" w:sz="8" w:space="0" w:color="000000"/>
            </w:tcBorders>
            <w:vAlign w:val="center"/>
          </w:tcPr>
          <w:p w14:paraId="66F011FC" w14:textId="77777777" w:rsidR="00A979DA" w:rsidRPr="003C263C" w:rsidRDefault="00A979DA" w:rsidP="00C40375">
            <w:pPr>
              <w:rPr>
                <w:rFonts w:cs="Arial"/>
              </w:rPr>
            </w:pPr>
            <w:r w:rsidRPr="003C263C">
              <w:rPr>
                <w:rFonts w:cs="Arial"/>
              </w:rPr>
              <w:t xml:space="preserve">This pool </w:t>
            </w:r>
            <w:r w:rsidR="00C40375">
              <w:rPr>
                <w:rFonts w:cs="Arial"/>
              </w:rPr>
              <w:t>is</w:t>
            </w:r>
            <w:r w:rsidRPr="003C263C">
              <w:rPr>
                <w:rFonts w:cs="Arial"/>
              </w:rPr>
              <w:t xml:space="preserve"> conservatively excluded. Lying dead wood is optional to include.</w:t>
            </w:r>
          </w:p>
        </w:tc>
      </w:tr>
      <w:tr w:rsidR="00A979DA" w:rsidRPr="003C263C" w14:paraId="318C157C" w14:textId="77777777" w:rsidTr="004223A0">
        <w:trPr>
          <w:trHeight w:val="525"/>
        </w:trPr>
        <w:tc>
          <w:tcPr>
            <w:tcW w:w="1960" w:type="dxa"/>
            <w:tcBorders>
              <w:top w:val="nil"/>
              <w:left w:val="single" w:sz="8" w:space="0" w:color="000000"/>
              <w:bottom w:val="single" w:sz="8" w:space="0" w:color="000000"/>
              <w:right w:val="single" w:sz="8" w:space="0" w:color="000000"/>
            </w:tcBorders>
            <w:vAlign w:val="center"/>
          </w:tcPr>
          <w:p w14:paraId="3E24A625" w14:textId="77777777" w:rsidR="00A979DA" w:rsidRPr="003C263C" w:rsidRDefault="00A979DA" w:rsidP="004223A0">
            <w:pPr>
              <w:rPr>
                <w:rFonts w:cs="Arial"/>
              </w:rPr>
            </w:pPr>
            <w:r w:rsidRPr="003C263C">
              <w:rPr>
                <w:rFonts w:cs="Arial"/>
                <w:lang w:val="pt-BR"/>
              </w:rPr>
              <w:t>Harvested Wood Products</w:t>
            </w:r>
          </w:p>
        </w:tc>
        <w:tc>
          <w:tcPr>
            <w:tcW w:w="1840" w:type="dxa"/>
            <w:tcBorders>
              <w:top w:val="nil"/>
              <w:left w:val="nil"/>
              <w:bottom w:val="single" w:sz="8" w:space="0" w:color="000000"/>
              <w:right w:val="single" w:sz="8" w:space="0" w:color="000000"/>
            </w:tcBorders>
            <w:vAlign w:val="center"/>
          </w:tcPr>
          <w:p w14:paraId="1F06B6A8" w14:textId="77777777" w:rsidR="00A979DA" w:rsidRPr="003C263C" w:rsidRDefault="00A979DA" w:rsidP="004223A0">
            <w:pPr>
              <w:rPr>
                <w:rFonts w:cs="Arial"/>
              </w:rPr>
            </w:pPr>
            <w:r w:rsidRPr="003C263C">
              <w:rPr>
                <w:rFonts w:cs="Arial"/>
              </w:rPr>
              <w:t>Included</w:t>
            </w:r>
          </w:p>
        </w:tc>
        <w:tc>
          <w:tcPr>
            <w:tcW w:w="5980" w:type="dxa"/>
            <w:tcBorders>
              <w:top w:val="nil"/>
              <w:left w:val="nil"/>
              <w:bottom w:val="single" w:sz="8" w:space="0" w:color="000000"/>
              <w:right w:val="single" w:sz="8" w:space="0" w:color="000000"/>
            </w:tcBorders>
            <w:vAlign w:val="center"/>
          </w:tcPr>
          <w:p w14:paraId="5F99FD02" w14:textId="77777777" w:rsidR="00A979DA" w:rsidRPr="003C263C" w:rsidRDefault="00A979DA" w:rsidP="004223A0">
            <w:pPr>
              <w:rPr>
                <w:rFonts w:cs="Arial"/>
              </w:rPr>
            </w:pPr>
            <w:r w:rsidRPr="003C263C">
              <w:rPr>
                <w:rFonts w:cs="Calibri"/>
              </w:rPr>
              <w:t>Major carbon pool subjected to the project activity.</w:t>
            </w:r>
          </w:p>
        </w:tc>
      </w:tr>
      <w:tr w:rsidR="00A979DA" w:rsidRPr="003C263C" w14:paraId="54917FDA" w14:textId="77777777" w:rsidTr="004223A0">
        <w:trPr>
          <w:trHeight w:val="270"/>
        </w:trPr>
        <w:tc>
          <w:tcPr>
            <w:tcW w:w="1960" w:type="dxa"/>
            <w:tcBorders>
              <w:top w:val="nil"/>
              <w:left w:val="single" w:sz="8" w:space="0" w:color="000000"/>
              <w:bottom w:val="single" w:sz="8" w:space="0" w:color="000000"/>
              <w:right w:val="single" w:sz="8" w:space="0" w:color="000000"/>
            </w:tcBorders>
            <w:vAlign w:val="center"/>
          </w:tcPr>
          <w:p w14:paraId="66211521" w14:textId="77777777" w:rsidR="00A979DA" w:rsidRPr="003C263C" w:rsidRDefault="00A979DA" w:rsidP="004223A0">
            <w:pPr>
              <w:rPr>
                <w:rFonts w:cs="Arial"/>
                <w:lang w:val="pt-BR"/>
              </w:rPr>
            </w:pPr>
            <w:r w:rsidRPr="003C263C">
              <w:rPr>
                <w:rFonts w:cs="Arial"/>
                <w:lang w:val="pt-BR"/>
              </w:rPr>
              <w:t>Litter/Forest Floor</w:t>
            </w:r>
          </w:p>
        </w:tc>
        <w:tc>
          <w:tcPr>
            <w:tcW w:w="1840" w:type="dxa"/>
            <w:tcBorders>
              <w:top w:val="nil"/>
              <w:left w:val="nil"/>
              <w:bottom w:val="single" w:sz="8" w:space="0" w:color="000000"/>
              <w:right w:val="single" w:sz="8" w:space="0" w:color="000000"/>
            </w:tcBorders>
            <w:vAlign w:val="center"/>
          </w:tcPr>
          <w:p w14:paraId="1E348016" w14:textId="77777777" w:rsidR="00A979DA" w:rsidRPr="003C263C" w:rsidRDefault="00A979DA" w:rsidP="004223A0">
            <w:pPr>
              <w:rPr>
                <w:rFonts w:cs="Arial"/>
                <w:lang w:val="pt-BR"/>
              </w:rPr>
            </w:pPr>
            <w:r w:rsidRPr="003C263C">
              <w:rPr>
                <w:rFonts w:cs="Arial"/>
                <w:lang w:val="pt-BR"/>
              </w:rPr>
              <w:t>Excluded</w:t>
            </w:r>
          </w:p>
        </w:tc>
        <w:tc>
          <w:tcPr>
            <w:tcW w:w="5980" w:type="dxa"/>
            <w:tcBorders>
              <w:top w:val="nil"/>
              <w:left w:val="nil"/>
              <w:bottom w:val="single" w:sz="8" w:space="0" w:color="000000"/>
              <w:right w:val="single" w:sz="8" w:space="0" w:color="000000"/>
            </w:tcBorders>
            <w:vAlign w:val="center"/>
          </w:tcPr>
          <w:p w14:paraId="5F229173" w14:textId="77777777" w:rsidR="00A979DA" w:rsidRPr="003C263C" w:rsidRDefault="00A979DA" w:rsidP="004223A0">
            <w:pPr>
              <w:autoSpaceDE w:val="0"/>
              <w:autoSpaceDN w:val="0"/>
              <w:adjustRightInd w:val="0"/>
              <w:rPr>
                <w:rFonts w:cs="Calibri-Italic"/>
                <w:i/>
                <w:iCs/>
              </w:rPr>
            </w:pPr>
            <w:r w:rsidRPr="003C263C">
              <w:rPr>
                <w:rFonts w:cs="Calibri"/>
              </w:rPr>
              <w:t xml:space="preserve">Changes in the litter pool are considered </w:t>
            </w:r>
            <w:r w:rsidRPr="003C263C">
              <w:rPr>
                <w:rFonts w:cs="Calibri-Italic"/>
                <w:i/>
                <w:iCs/>
              </w:rPr>
              <w:t>de</w:t>
            </w:r>
          </w:p>
          <w:p w14:paraId="4C32D13A" w14:textId="77777777" w:rsidR="00A979DA" w:rsidRPr="003C263C" w:rsidRDefault="00A979DA" w:rsidP="004223A0">
            <w:pPr>
              <w:rPr>
                <w:rFonts w:cs="Arial"/>
              </w:rPr>
            </w:pPr>
            <w:r w:rsidRPr="003C263C">
              <w:rPr>
                <w:rFonts w:cs="Calibri-Italic"/>
                <w:i/>
                <w:iCs/>
              </w:rPr>
              <w:t xml:space="preserve">minimis </w:t>
            </w:r>
            <w:r w:rsidRPr="003C263C">
              <w:rPr>
                <w:rFonts w:cs="Calibri"/>
              </w:rPr>
              <w:t>as a result of project implementation</w:t>
            </w:r>
          </w:p>
        </w:tc>
      </w:tr>
      <w:tr w:rsidR="00A979DA" w:rsidRPr="003C263C" w14:paraId="0E1331B0" w14:textId="77777777" w:rsidTr="008F0580">
        <w:trPr>
          <w:trHeight w:val="270"/>
        </w:trPr>
        <w:tc>
          <w:tcPr>
            <w:tcW w:w="1960" w:type="dxa"/>
            <w:tcBorders>
              <w:top w:val="nil"/>
              <w:left w:val="single" w:sz="8" w:space="0" w:color="000000"/>
              <w:bottom w:val="single" w:sz="8" w:space="0" w:color="000000"/>
              <w:right w:val="single" w:sz="8" w:space="0" w:color="000000"/>
            </w:tcBorders>
            <w:vAlign w:val="center"/>
          </w:tcPr>
          <w:p w14:paraId="6CE2A99B" w14:textId="77777777" w:rsidR="00A979DA" w:rsidRPr="003C263C" w:rsidRDefault="00A979DA" w:rsidP="004223A0">
            <w:pPr>
              <w:rPr>
                <w:rFonts w:cs="Arial"/>
                <w:lang w:val="pt-BR"/>
              </w:rPr>
            </w:pPr>
            <w:r w:rsidRPr="003C263C">
              <w:rPr>
                <w:rFonts w:cs="Arial"/>
                <w:lang w:val="pt-BR"/>
              </w:rPr>
              <w:t>Soil Organic Carbon</w:t>
            </w:r>
          </w:p>
        </w:tc>
        <w:tc>
          <w:tcPr>
            <w:tcW w:w="1840" w:type="dxa"/>
            <w:tcBorders>
              <w:top w:val="nil"/>
              <w:left w:val="nil"/>
              <w:bottom w:val="single" w:sz="8" w:space="0" w:color="000000"/>
              <w:right w:val="single" w:sz="8" w:space="0" w:color="000000"/>
            </w:tcBorders>
            <w:vAlign w:val="center"/>
          </w:tcPr>
          <w:p w14:paraId="4E91903A" w14:textId="77777777" w:rsidR="00A979DA" w:rsidRPr="003C263C" w:rsidRDefault="00A979DA" w:rsidP="004223A0">
            <w:pPr>
              <w:rPr>
                <w:rFonts w:cs="Arial"/>
                <w:lang w:val="pt-BR"/>
              </w:rPr>
            </w:pPr>
            <w:r w:rsidRPr="003C263C">
              <w:rPr>
                <w:rFonts w:cs="Arial"/>
                <w:lang w:val="pt-BR"/>
              </w:rPr>
              <w:t>Excluded</w:t>
            </w:r>
          </w:p>
        </w:tc>
        <w:tc>
          <w:tcPr>
            <w:tcW w:w="5980" w:type="dxa"/>
            <w:tcBorders>
              <w:top w:val="nil"/>
              <w:left w:val="nil"/>
              <w:bottom w:val="single" w:sz="8" w:space="0" w:color="000000"/>
              <w:right w:val="single" w:sz="8" w:space="0" w:color="000000"/>
            </w:tcBorders>
            <w:vAlign w:val="center"/>
          </w:tcPr>
          <w:p w14:paraId="4156D0B8" w14:textId="66D17066" w:rsidR="00A979DA" w:rsidRPr="003C263C" w:rsidRDefault="00A979DA" w:rsidP="004223A0">
            <w:pPr>
              <w:autoSpaceDE w:val="0"/>
              <w:autoSpaceDN w:val="0"/>
              <w:adjustRightInd w:val="0"/>
              <w:rPr>
                <w:rFonts w:cs="Calibri-Italic"/>
                <w:i/>
                <w:iCs/>
              </w:rPr>
            </w:pPr>
            <w:r w:rsidRPr="003C263C">
              <w:rPr>
                <w:rFonts w:cs="Calibri"/>
              </w:rPr>
              <w:t xml:space="preserve">Changes in the </w:t>
            </w:r>
            <w:r w:rsidR="00D173A0">
              <w:rPr>
                <w:rFonts w:cs="Calibri"/>
              </w:rPr>
              <w:t xml:space="preserve">soil organic carbon </w:t>
            </w:r>
            <w:r w:rsidRPr="003C263C">
              <w:rPr>
                <w:rFonts w:cs="Calibri"/>
              </w:rPr>
              <w:t xml:space="preserve">pool are considered </w:t>
            </w:r>
            <w:r w:rsidRPr="003C263C">
              <w:rPr>
                <w:rFonts w:cs="Calibri-Italic"/>
                <w:i/>
                <w:iCs/>
              </w:rPr>
              <w:t>de</w:t>
            </w:r>
          </w:p>
          <w:p w14:paraId="3A91FFE8" w14:textId="77777777" w:rsidR="00A979DA" w:rsidRPr="003C263C" w:rsidRDefault="00A979DA" w:rsidP="004223A0">
            <w:pPr>
              <w:rPr>
                <w:rFonts w:cs="Arial"/>
              </w:rPr>
            </w:pPr>
            <w:r w:rsidRPr="003C263C">
              <w:rPr>
                <w:rFonts w:cs="Calibri-Italic"/>
                <w:i/>
                <w:iCs/>
              </w:rPr>
              <w:t xml:space="preserve">minimis </w:t>
            </w:r>
            <w:r w:rsidRPr="003C263C">
              <w:rPr>
                <w:rFonts w:cs="Calibri"/>
              </w:rPr>
              <w:t>as a result of project implementation</w:t>
            </w:r>
          </w:p>
        </w:tc>
      </w:tr>
      <w:tr w:rsidR="00A979DA" w:rsidRPr="003C263C" w14:paraId="2332A3FF" w14:textId="77777777" w:rsidTr="008F0580">
        <w:trPr>
          <w:trHeight w:val="270"/>
        </w:trPr>
        <w:tc>
          <w:tcPr>
            <w:tcW w:w="1960" w:type="dxa"/>
            <w:tcBorders>
              <w:top w:val="single" w:sz="8" w:space="0" w:color="000000"/>
              <w:left w:val="single" w:sz="8" w:space="0" w:color="000000"/>
              <w:bottom w:val="single" w:sz="8" w:space="0" w:color="000000"/>
              <w:right w:val="single" w:sz="8" w:space="0" w:color="000000"/>
            </w:tcBorders>
            <w:vAlign w:val="center"/>
          </w:tcPr>
          <w:p w14:paraId="1165EE94" w14:textId="77777777" w:rsidR="00A979DA" w:rsidRPr="003C263C" w:rsidRDefault="00A979DA" w:rsidP="004223A0">
            <w:pPr>
              <w:rPr>
                <w:rFonts w:cs="Arial"/>
              </w:rPr>
            </w:pPr>
            <w:r w:rsidRPr="003C263C">
              <w:rPr>
                <w:rFonts w:cs="Arial"/>
                <w:lang w:val="pt-BR"/>
              </w:rPr>
              <w:t>Emissions from Biomass Burning</w:t>
            </w:r>
          </w:p>
        </w:tc>
        <w:tc>
          <w:tcPr>
            <w:tcW w:w="1840" w:type="dxa"/>
            <w:tcBorders>
              <w:top w:val="single" w:sz="8" w:space="0" w:color="000000"/>
              <w:left w:val="nil"/>
              <w:bottom w:val="single" w:sz="8" w:space="0" w:color="000000"/>
              <w:right w:val="single" w:sz="8" w:space="0" w:color="000000"/>
            </w:tcBorders>
            <w:vAlign w:val="center"/>
          </w:tcPr>
          <w:p w14:paraId="0E7E5BBE" w14:textId="265207A5" w:rsidR="00A979DA" w:rsidRPr="003C263C" w:rsidRDefault="00E9708A" w:rsidP="004223A0">
            <w:pPr>
              <w:rPr>
                <w:rFonts w:cs="Arial"/>
              </w:rPr>
            </w:pPr>
            <w:r>
              <w:rPr>
                <w:rFonts w:cs="Arial"/>
                <w:lang w:val="pt-BR"/>
              </w:rPr>
              <w:t>Included</w:t>
            </w:r>
          </w:p>
        </w:tc>
        <w:tc>
          <w:tcPr>
            <w:tcW w:w="5980" w:type="dxa"/>
            <w:tcBorders>
              <w:top w:val="single" w:sz="8" w:space="0" w:color="000000"/>
              <w:left w:val="nil"/>
              <w:bottom w:val="single" w:sz="8" w:space="0" w:color="000000"/>
              <w:right w:val="single" w:sz="8" w:space="0" w:color="000000"/>
            </w:tcBorders>
            <w:vAlign w:val="center"/>
          </w:tcPr>
          <w:p w14:paraId="20922F70" w14:textId="480476A4" w:rsidR="00A979DA" w:rsidRPr="003C263C" w:rsidRDefault="00A979DA" w:rsidP="00E9708A">
            <w:pPr>
              <w:rPr>
                <w:rFonts w:cs="Arial"/>
              </w:rPr>
            </w:pPr>
            <w:r w:rsidRPr="003C263C">
              <w:rPr>
                <w:rFonts w:cs="Arial"/>
              </w:rPr>
              <w:t xml:space="preserve">This pool </w:t>
            </w:r>
            <w:r w:rsidR="0037524D">
              <w:rPr>
                <w:rFonts w:cs="Arial"/>
              </w:rPr>
              <w:t xml:space="preserve">is </w:t>
            </w:r>
            <w:r w:rsidR="00E9708A">
              <w:rPr>
                <w:rFonts w:cs="Arial"/>
              </w:rPr>
              <w:t xml:space="preserve">included. It is conservatively assumed to be zero in the baseline. </w:t>
            </w:r>
            <w:r w:rsidR="006E237B">
              <w:rPr>
                <w:rFonts w:cs="Arial"/>
              </w:rPr>
              <w:t>N</w:t>
            </w:r>
            <w:r w:rsidR="006E237B" w:rsidRPr="003C263C">
              <w:rPr>
                <w:rFonts w:cs="Arial"/>
              </w:rPr>
              <w:t>o logging slash is burnt in either the baseline or with-project case</w:t>
            </w:r>
            <w:r w:rsidR="006E237B">
              <w:rPr>
                <w:rFonts w:cs="Arial"/>
              </w:rPr>
              <w:t>s as part of management practices</w:t>
            </w:r>
            <w:r w:rsidR="006E237B" w:rsidRPr="003C263C">
              <w:rPr>
                <w:rFonts w:cs="Arial"/>
              </w:rPr>
              <w:t>.</w:t>
            </w:r>
          </w:p>
        </w:tc>
      </w:tr>
      <w:tr w:rsidR="00FE1B92" w:rsidRPr="003C263C" w14:paraId="14795FC5" w14:textId="77777777" w:rsidTr="008F0580">
        <w:trPr>
          <w:trHeight w:val="270"/>
        </w:trPr>
        <w:tc>
          <w:tcPr>
            <w:tcW w:w="1960" w:type="dxa"/>
            <w:tcBorders>
              <w:top w:val="single" w:sz="8" w:space="0" w:color="000000"/>
              <w:left w:val="single" w:sz="8" w:space="0" w:color="000000"/>
              <w:bottom w:val="single" w:sz="8" w:space="0" w:color="000000"/>
              <w:right w:val="single" w:sz="8" w:space="0" w:color="000000"/>
            </w:tcBorders>
            <w:vAlign w:val="center"/>
          </w:tcPr>
          <w:p w14:paraId="74B6CB5B" w14:textId="0F5BB4DA" w:rsidR="00FE1B92" w:rsidRPr="003C263C" w:rsidRDefault="00FE1B92" w:rsidP="004223A0">
            <w:pPr>
              <w:rPr>
                <w:rFonts w:cs="Arial"/>
                <w:lang w:val="pt-BR"/>
              </w:rPr>
            </w:pPr>
            <w:r>
              <w:rPr>
                <w:rFonts w:cs="Arial"/>
                <w:lang w:val="pt-BR"/>
              </w:rPr>
              <w:t>Market Leakage</w:t>
            </w:r>
          </w:p>
        </w:tc>
        <w:tc>
          <w:tcPr>
            <w:tcW w:w="1840" w:type="dxa"/>
            <w:tcBorders>
              <w:top w:val="single" w:sz="8" w:space="0" w:color="000000"/>
              <w:left w:val="nil"/>
              <w:bottom w:val="single" w:sz="8" w:space="0" w:color="000000"/>
              <w:right w:val="single" w:sz="8" w:space="0" w:color="000000"/>
            </w:tcBorders>
            <w:vAlign w:val="center"/>
          </w:tcPr>
          <w:p w14:paraId="23A45D18" w14:textId="4C35D015" w:rsidR="00FE1B92" w:rsidRPr="003C263C" w:rsidDel="00E9708A" w:rsidRDefault="00FE1B92" w:rsidP="004223A0">
            <w:pPr>
              <w:rPr>
                <w:rFonts w:cs="Arial"/>
                <w:lang w:val="pt-BR"/>
              </w:rPr>
            </w:pPr>
            <w:r>
              <w:rPr>
                <w:rFonts w:cs="Arial"/>
                <w:lang w:val="pt-BR"/>
              </w:rPr>
              <w:t>Included</w:t>
            </w:r>
          </w:p>
        </w:tc>
        <w:tc>
          <w:tcPr>
            <w:tcW w:w="5980" w:type="dxa"/>
            <w:tcBorders>
              <w:top w:val="single" w:sz="8" w:space="0" w:color="000000"/>
              <w:left w:val="nil"/>
              <w:bottom w:val="single" w:sz="8" w:space="0" w:color="000000"/>
              <w:right w:val="single" w:sz="8" w:space="0" w:color="000000"/>
            </w:tcBorders>
            <w:vAlign w:val="center"/>
          </w:tcPr>
          <w:p w14:paraId="73941F15" w14:textId="47F2FB19" w:rsidR="00FE1B92" w:rsidRPr="003C263C" w:rsidRDefault="00FE1B92" w:rsidP="00301D3A">
            <w:pPr>
              <w:rPr>
                <w:rFonts w:cs="Arial"/>
              </w:rPr>
            </w:pPr>
            <w:r>
              <w:rPr>
                <w:rFonts w:cs="Arial"/>
              </w:rPr>
              <w:t xml:space="preserve">As more wood is harvested in the baseline than in the project scenario, market leakage is accounted for to reflect that wood supply elsewhere increases </w:t>
            </w:r>
            <w:r w:rsidR="00301D3A">
              <w:rPr>
                <w:rFonts w:cs="Arial"/>
              </w:rPr>
              <w:t xml:space="preserve">in response to </w:t>
            </w:r>
            <w:r>
              <w:rPr>
                <w:rFonts w:cs="Arial"/>
              </w:rPr>
              <w:t>project activity-attributable reductions, assuming demand is constant.</w:t>
            </w:r>
          </w:p>
        </w:tc>
      </w:tr>
    </w:tbl>
    <w:p w14:paraId="2F05F475" w14:textId="77777777" w:rsidR="00A979DA" w:rsidRPr="00A979DA" w:rsidRDefault="00A979DA" w:rsidP="0082682A"/>
    <w:p w14:paraId="127FEFCB" w14:textId="77777777" w:rsidR="000E23B0" w:rsidRPr="00B928A1" w:rsidRDefault="00636121" w:rsidP="000E23B0">
      <w:pPr>
        <w:pStyle w:val="Heading2"/>
      </w:pPr>
      <w:bookmarkStart w:id="17" w:name="_Toc2243494"/>
      <w:r>
        <w:t>B5</w:t>
      </w:r>
      <w:r w:rsidR="000E23B0">
        <w:t xml:space="preserve">. </w:t>
      </w:r>
      <w:r w:rsidR="009932E9">
        <w:t>BASELINE</w:t>
      </w:r>
      <w:bookmarkEnd w:id="17"/>
    </w:p>
    <w:p w14:paraId="22CF1637" w14:textId="51C53F7B" w:rsidR="002B7954" w:rsidRPr="002B7954" w:rsidRDefault="002B7954" w:rsidP="002B7954">
      <w:pPr>
        <w:rPr>
          <w:lang w:val="en-GB"/>
        </w:rPr>
      </w:pPr>
      <w:r w:rsidRPr="002B7954">
        <w:t xml:space="preserve">The baseline determination was conducted as required, which is to maximize the NPV of wood products over a 100-year modeling period using the prescribed discount rate, in this case 4% for non-federal public lands.  Constraints were introduced into the NPV model that reflect operational realities of the ownership and a reasonable prediction of what harvesting would likely occur in the absence of the carbon project.   The introduced constraints </w:t>
      </w:r>
      <w:r w:rsidR="00473B08">
        <w:t xml:space="preserve">(see E. Quantification </w:t>
      </w:r>
      <w:r w:rsidR="00473B08" w:rsidRPr="00473B08">
        <w:rPr>
          <w:i/>
          <w:iCs/>
        </w:rPr>
        <w:t>NPV analysis</w:t>
      </w:r>
      <w:r w:rsidR="00473B08">
        <w:t xml:space="preserve">) </w:t>
      </w:r>
      <w:r w:rsidRPr="002B7954">
        <w:t>resulted in a significantly more conservative baseline than required by the methodology.  Derivation and justification for the baseline is detailed in Section E.</w:t>
      </w:r>
    </w:p>
    <w:p w14:paraId="533332B0" w14:textId="77777777" w:rsidR="002B7954" w:rsidRPr="00A42610" w:rsidRDefault="002B7954" w:rsidP="009656CA">
      <w:pPr>
        <w:rPr>
          <w:lang w:val="en-GB"/>
        </w:rPr>
      </w:pPr>
    </w:p>
    <w:p w14:paraId="2BE5FEE1" w14:textId="77777777" w:rsidR="00636121" w:rsidRPr="00B928A1" w:rsidRDefault="00636121" w:rsidP="00636121">
      <w:pPr>
        <w:pStyle w:val="Heading2"/>
      </w:pPr>
      <w:bookmarkStart w:id="18" w:name="_Toc2243495"/>
      <w:r>
        <w:t>B6. PROJECT SCENARIO</w:t>
      </w:r>
      <w:bookmarkEnd w:id="18"/>
    </w:p>
    <w:p w14:paraId="1C464793" w14:textId="4E5AC181" w:rsidR="00AB676F" w:rsidRDefault="00CB2B66" w:rsidP="00636121">
      <w:r>
        <w:t xml:space="preserve">The project activity is improved forest management, via implementation of </w:t>
      </w:r>
      <w:r w:rsidR="008F7FCE">
        <w:t xml:space="preserve">UT’s improved forestry </w:t>
      </w:r>
      <w:r w:rsidR="00AB676F">
        <w:t>practices summarized in Section A6.</w:t>
      </w:r>
    </w:p>
    <w:p w14:paraId="33CD3859" w14:textId="77777777" w:rsidR="00947106" w:rsidRPr="00B928A1" w:rsidRDefault="00546796" w:rsidP="000E23B0">
      <w:pPr>
        <w:pStyle w:val="Heading2"/>
      </w:pPr>
      <w:bookmarkStart w:id="19" w:name="_Toc2243496"/>
      <w:r>
        <w:t>B</w:t>
      </w:r>
      <w:r w:rsidR="00636121">
        <w:t>7</w:t>
      </w:r>
      <w:r>
        <w:t xml:space="preserve">. </w:t>
      </w:r>
      <w:r w:rsidR="009656CA">
        <w:t>REDUCTIONS AND ENHANCED REMOVALS</w:t>
      </w:r>
      <w:bookmarkEnd w:id="19"/>
    </w:p>
    <w:p w14:paraId="62F788C5" w14:textId="0472C4E6" w:rsidR="008851BE" w:rsidRDefault="008851BE" w:rsidP="00935D74">
      <w:r>
        <w:t>The project activity produces net emission reductions by increasing stocking relative to the baseline, via improved forest management practices previously described in Section</w:t>
      </w:r>
      <w:r w:rsidR="00543B2C">
        <w:t xml:space="preserve"> </w:t>
      </w:r>
      <w:r>
        <w:t>A6.</w:t>
      </w:r>
    </w:p>
    <w:p w14:paraId="4D46D09F" w14:textId="77777777" w:rsidR="00546796" w:rsidRDefault="00546796" w:rsidP="000E23B0">
      <w:pPr>
        <w:pStyle w:val="Heading2"/>
      </w:pPr>
      <w:bookmarkStart w:id="20" w:name="_Toc2243497"/>
      <w:r w:rsidRPr="00546796">
        <w:t>B</w:t>
      </w:r>
      <w:r w:rsidR="00636121">
        <w:t>8</w:t>
      </w:r>
      <w:r w:rsidRPr="00546796">
        <w:t xml:space="preserve">. </w:t>
      </w:r>
      <w:r w:rsidR="00580B7D">
        <w:t>PERMANENCE</w:t>
      </w:r>
      <w:bookmarkEnd w:id="20"/>
    </w:p>
    <w:p w14:paraId="7695B1D0" w14:textId="570A85D7" w:rsidR="00B63AA4" w:rsidRDefault="00B63AA4" w:rsidP="00580B7D">
      <w:r>
        <w:t>R</w:t>
      </w:r>
      <w:r w:rsidRPr="00B63AA4">
        <w:t xml:space="preserve">isks that may </w:t>
      </w:r>
      <w:r>
        <w:t xml:space="preserve">substantially </w:t>
      </w:r>
      <w:r w:rsidRPr="00B63AA4">
        <w:t>affect the project’s GHG emission reductions or removal enhancements</w:t>
      </w:r>
      <w:r>
        <w:t xml:space="preserve"> include fire, forest pests, climate change</w:t>
      </w:r>
      <w:r w:rsidR="00DF7D2B">
        <w:t>, and failure of project activity to avoid unsustainable forest resource extraction and land use change</w:t>
      </w:r>
      <w:r w:rsidRPr="00B63AA4">
        <w:t>.</w:t>
      </w:r>
    </w:p>
    <w:p w14:paraId="30BE428C" w14:textId="52A74883" w:rsidR="00D4715E" w:rsidRPr="00DB0ADF" w:rsidRDefault="000521EC" w:rsidP="00580B7D">
      <w:r w:rsidRPr="000521EC">
        <w:t>The</w:t>
      </w:r>
      <w:r>
        <w:t xml:space="preserve"> project addresses permanence by application of the </w:t>
      </w:r>
      <w:r w:rsidR="005A25C4">
        <w:t>ACR Tool for Risk Analysis and Buffer Determination v1.0</w:t>
      </w:r>
      <w:r w:rsidR="00D4715E" w:rsidRPr="005A25C4">
        <w:t xml:space="preserve">, to assess risk of reversal and withhold from issuance a commensurate percentage of ERTs, to be held in reserve </w:t>
      </w:r>
      <w:r w:rsidR="00D35FAF" w:rsidRPr="005A25C4">
        <w:t xml:space="preserve">in </w:t>
      </w:r>
      <w:r w:rsidR="00D4715E" w:rsidRPr="005A25C4">
        <w:t>the ACR</w:t>
      </w:r>
      <w:r w:rsidR="00D35FAF" w:rsidRPr="005A25C4">
        <w:t xml:space="preserve"> buffer pool</w:t>
      </w:r>
      <w:r w:rsidR="00D4715E" w:rsidRPr="005A25C4">
        <w:t xml:space="preserve">. </w:t>
      </w:r>
      <w:r w:rsidR="00D4715E">
        <w:t xml:space="preserve">The </w:t>
      </w:r>
      <w:r w:rsidR="005A25C4">
        <w:t xml:space="preserve">initial </w:t>
      </w:r>
      <w:r w:rsidR="00D4715E">
        <w:t xml:space="preserve">risk analysis is detailed </w:t>
      </w:r>
      <w:r w:rsidR="005A25C4">
        <w:t>below</w:t>
      </w:r>
      <w:r w:rsidR="00D4715E">
        <w:t xml:space="preserve">, </w:t>
      </w:r>
      <w:r w:rsidR="005A25C4">
        <w:t xml:space="preserve">and </w:t>
      </w:r>
      <w:r w:rsidR="00D4715E">
        <w:t xml:space="preserve">will be </w:t>
      </w:r>
      <w:r w:rsidR="00D4715E" w:rsidRPr="00DB0ADF">
        <w:t>updated at each verification.</w:t>
      </w:r>
    </w:p>
    <w:p w14:paraId="2F0796EC" w14:textId="4D049F88" w:rsidR="00A16F26" w:rsidRPr="00DB0ADF" w:rsidRDefault="006976E8" w:rsidP="00580B7D">
      <w:r w:rsidRPr="00DB0ADF">
        <w:t xml:space="preserve">The project has an initial risk rating of </w:t>
      </w:r>
      <w:r w:rsidR="00105635" w:rsidRPr="00105635">
        <w:t>16</w:t>
      </w:r>
      <w:r w:rsidR="007165A6" w:rsidRPr="00105635">
        <w:t>%</w:t>
      </w:r>
      <w:r w:rsidR="00827E62" w:rsidRPr="00DB0ADF">
        <w:t xml:space="preserve"> based on application of the ACR Tool for Risk Analysis and Buffer Determination</w:t>
      </w:r>
      <w:r w:rsidRPr="00DB0ADF">
        <w:t>, detailed in the table below</w:t>
      </w:r>
      <w:r w:rsidR="00827E62" w:rsidRPr="00DB0ADF">
        <w:t>.</w:t>
      </w:r>
    </w:p>
    <w:tbl>
      <w:tblPr>
        <w:tblW w:w="63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4"/>
        <w:gridCol w:w="3186"/>
      </w:tblGrid>
      <w:tr w:rsidR="00FD2D8A" w:rsidRPr="00DB0ADF" w14:paraId="4AB78DC1" w14:textId="77777777" w:rsidTr="00FD2D8A">
        <w:trPr>
          <w:trHeight w:val="116"/>
        </w:trPr>
        <w:tc>
          <w:tcPr>
            <w:tcW w:w="3184" w:type="dxa"/>
          </w:tcPr>
          <w:p w14:paraId="2066A080" w14:textId="0C2DECD8" w:rsidR="00FD2D8A" w:rsidRPr="006870FB" w:rsidRDefault="00FD2D8A" w:rsidP="00A16F26">
            <w:pPr>
              <w:autoSpaceDE w:val="0"/>
              <w:autoSpaceDN w:val="0"/>
              <w:adjustRightInd w:val="0"/>
              <w:spacing w:after="0" w:line="240" w:lineRule="auto"/>
              <w:rPr>
                <w:rFonts w:cstheme="minorHAnsi"/>
                <w:b/>
                <w:bCs/>
                <w:color w:val="000000"/>
                <w:lang w:val="es-MX"/>
              </w:rPr>
            </w:pPr>
            <w:r w:rsidRPr="006870FB">
              <w:rPr>
                <w:rFonts w:cstheme="minorHAnsi"/>
                <w:b/>
                <w:bCs/>
                <w:color w:val="000000"/>
                <w:lang w:val="es-MX"/>
              </w:rPr>
              <w:t>Applicable risk category</w:t>
            </w:r>
          </w:p>
        </w:tc>
        <w:tc>
          <w:tcPr>
            <w:tcW w:w="3186" w:type="dxa"/>
          </w:tcPr>
          <w:p w14:paraId="1C282246" w14:textId="4431EE4D" w:rsidR="00FD2D8A" w:rsidRPr="006870FB" w:rsidRDefault="00FD2D8A" w:rsidP="00A16F26">
            <w:pPr>
              <w:autoSpaceDE w:val="0"/>
              <w:autoSpaceDN w:val="0"/>
              <w:adjustRightInd w:val="0"/>
              <w:spacing w:after="0" w:line="240" w:lineRule="auto"/>
              <w:rPr>
                <w:rFonts w:cstheme="minorHAnsi"/>
                <w:b/>
                <w:lang w:val="es-MX"/>
              </w:rPr>
            </w:pPr>
            <w:r w:rsidRPr="006870FB">
              <w:rPr>
                <w:rFonts w:cstheme="minorHAnsi"/>
                <w:b/>
                <w:lang w:val="es-MX"/>
              </w:rPr>
              <w:t xml:space="preserve">Risk </w:t>
            </w:r>
            <w:r w:rsidR="00050C68" w:rsidRPr="006870FB">
              <w:rPr>
                <w:rFonts w:cstheme="minorHAnsi"/>
                <w:b/>
                <w:lang w:val="es-MX"/>
              </w:rPr>
              <w:t>value</w:t>
            </w:r>
          </w:p>
        </w:tc>
      </w:tr>
      <w:tr w:rsidR="00FD2D8A" w:rsidRPr="00DB0ADF" w14:paraId="098918BE" w14:textId="77777777" w:rsidTr="00FD2D8A">
        <w:trPr>
          <w:trHeight w:val="116"/>
        </w:trPr>
        <w:tc>
          <w:tcPr>
            <w:tcW w:w="3184" w:type="dxa"/>
          </w:tcPr>
          <w:p w14:paraId="6DB74AA7" w14:textId="74127DED" w:rsidR="00FD2D8A" w:rsidRPr="00DF5CD7" w:rsidRDefault="00FD2D8A" w:rsidP="00553144">
            <w:pPr>
              <w:pStyle w:val="ListParagraph"/>
              <w:numPr>
                <w:ilvl w:val="0"/>
                <w:numId w:val="4"/>
              </w:numPr>
              <w:autoSpaceDE w:val="0"/>
              <w:autoSpaceDN w:val="0"/>
              <w:adjustRightInd w:val="0"/>
              <w:spacing w:after="0" w:line="240" w:lineRule="auto"/>
              <w:rPr>
                <w:rFonts w:cstheme="minorHAnsi"/>
                <w:bCs/>
                <w:color w:val="000000"/>
              </w:rPr>
            </w:pPr>
            <w:r w:rsidRPr="00DF5CD7">
              <w:rPr>
                <w:rFonts w:cstheme="minorHAnsi"/>
                <w:bCs/>
                <w:color w:val="000000"/>
              </w:rPr>
              <w:t xml:space="preserve">Financial </w:t>
            </w:r>
          </w:p>
        </w:tc>
        <w:tc>
          <w:tcPr>
            <w:tcW w:w="3186" w:type="dxa"/>
          </w:tcPr>
          <w:p w14:paraId="67DB997C" w14:textId="77777777" w:rsidR="00FD2D8A" w:rsidRPr="00DF5CD7" w:rsidRDefault="00DF5CD7" w:rsidP="00A16F26">
            <w:pPr>
              <w:autoSpaceDE w:val="0"/>
              <w:autoSpaceDN w:val="0"/>
              <w:adjustRightInd w:val="0"/>
              <w:spacing w:after="0" w:line="240" w:lineRule="auto"/>
              <w:rPr>
                <w:rFonts w:cstheme="minorHAnsi"/>
                <w:color w:val="000000"/>
              </w:rPr>
            </w:pPr>
            <w:r w:rsidRPr="00DF5CD7">
              <w:rPr>
                <w:rFonts w:cstheme="minorHAnsi"/>
                <w:color w:val="000000"/>
              </w:rPr>
              <w:t>3</w:t>
            </w:r>
            <w:r w:rsidR="00FD2D8A" w:rsidRPr="00DF5CD7">
              <w:rPr>
                <w:rFonts w:cstheme="minorHAnsi"/>
                <w:color w:val="000000"/>
              </w:rPr>
              <w:t xml:space="preserve">% </w:t>
            </w:r>
            <w:r w:rsidR="00050C68" w:rsidRPr="00DF5CD7">
              <w:rPr>
                <w:rFonts w:cstheme="minorHAnsi"/>
                <w:color w:val="000000"/>
              </w:rPr>
              <w:t>(</w:t>
            </w:r>
            <w:r w:rsidRPr="00DF5CD7">
              <w:rPr>
                <w:rFonts w:cstheme="minorHAnsi"/>
                <w:color w:val="000000"/>
              </w:rPr>
              <w:t>US Public and Tribal Lands</w:t>
            </w:r>
            <w:r w:rsidR="00050C68" w:rsidRPr="00DF5CD7">
              <w:rPr>
                <w:rFonts w:cstheme="minorHAnsi"/>
                <w:color w:val="000000"/>
              </w:rPr>
              <w:t>)</w:t>
            </w:r>
            <w:r w:rsidR="00FD2D8A" w:rsidRPr="00DF5CD7">
              <w:rPr>
                <w:rFonts w:cstheme="minorHAnsi"/>
                <w:color w:val="000000"/>
              </w:rPr>
              <w:t xml:space="preserve"> </w:t>
            </w:r>
          </w:p>
          <w:p w14:paraId="3B857292" w14:textId="7A108C19" w:rsidR="00DF5CD7" w:rsidRPr="00DF5CD7" w:rsidRDefault="00DF5CD7" w:rsidP="00A16F26">
            <w:pPr>
              <w:autoSpaceDE w:val="0"/>
              <w:autoSpaceDN w:val="0"/>
              <w:adjustRightInd w:val="0"/>
              <w:spacing w:after="0" w:line="240" w:lineRule="auto"/>
              <w:rPr>
                <w:rFonts w:cstheme="minorHAnsi"/>
                <w:color w:val="000000"/>
              </w:rPr>
            </w:pPr>
          </w:p>
        </w:tc>
      </w:tr>
      <w:tr w:rsidR="00FD2D8A" w:rsidRPr="00DB0ADF" w14:paraId="2D1417CB" w14:textId="77777777" w:rsidTr="00FD2D8A">
        <w:trPr>
          <w:trHeight w:val="116"/>
        </w:trPr>
        <w:tc>
          <w:tcPr>
            <w:tcW w:w="3184" w:type="dxa"/>
          </w:tcPr>
          <w:p w14:paraId="1D3E2967" w14:textId="7871A25C" w:rsidR="00FD2D8A" w:rsidRPr="00DF5CD7" w:rsidRDefault="00FD2D8A" w:rsidP="00553144">
            <w:pPr>
              <w:pStyle w:val="ListParagraph"/>
              <w:numPr>
                <w:ilvl w:val="0"/>
                <w:numId w:val="4"/>
              </w:numPr>
              <w:autoSpaceDE w:val="0"/>
              <w:autoSpaceDN w:val="0"/>
              <w:adjustRightInd w:val="0"/>
              <w:spacing w:after="0" w:line="240" w:lineRule="auto"/>
              <w:rPr>
                <w:rFonts w:cstheme="minorHAnsi"/>
                <w:bCs/>
                <w:color w:val="000000"/>
              </w:rPr>
            </w:pPr>
            <w:r w:rsidRPr="00DF5CD7">
              <w:rPr>
                <w:rFonts w:cstheme="minorHAnsi"/>
                <w:bCs/>
                <w:color w:val="000000"/>
              </w:rPr>
              <w:t xml:space="preserve">Project Management </w:t>
            </w:r>
          </w:p>
        </w:tc>
        <w:tc>
          <w:tcPr>
            <w:tcW w:w="3186" w:type="dxa"/>
          </w:tcPr>
          <w:p w14:paraId="0110A403" w14:textId="77777777" w:rsidR="00FD2D8A" w:rsidRPr="00DF5CD7" w:rsidRDefault="00DF5CD7" w:rsidP="00A16F26">
            <w:pPr>
              <w:autoSpaceDE w:val="0"/>
              <w:autoSpaceDN w:val="0"/>
              <w:adjustRightInd w:val="0"/>
              <w:spacing w:after="0" w:line="240" w:lineRule="auto"/>
              <w:rPr>
                <w:rFonts w:cstheme="minorHAnsi"/>
                <w:color w:val="000000"/>
              </w:rPr>
            </w:pPr>
            <w:r w:rsidRPr="00DF5CD7">
              <w:rPr>
                <w:rFonts w:cstheme="minorHAnsi"/>
                <w:color w:val="000000"/>
              </w:rPr>
              <w:t>3% (US Public and Tribal Lands)</w:t>
            </w:r>
          </w:p>
          <w:p w14:paraId="656349D3" w14:textId="06803F7F" w:rsidR="00DF5CD7" w:rsidRPr="00DF5CD7" w:rsidRDefault="00DF5CD7" w:rsidP="00A16F26">
            <w:pPr>
              <w:autoSpaceDE w:val="0"/>
              <w:autoSpaceDN w:val="0"/>
              <w:adjustRightInd w:val="0"/>
              <w:spacing w:after="0" w:line="240" w:lineRule="auto"/>
              <w:rPr>
                <w:rFonts w:cstheme="minorHAnsi"/>
                <w:color w:val="000000"/>
              </w:rPr>
            </w:pPr>
          </w:p>
        </w:tc>
      </w:tr>
      <w:tr w:rsidR="00FD2D8A" w:rsidRPr="00DB0ADF" w14:paraId="27ABE6C0" w14:textId="77777777" w:rsidTr="00FD2D8A">
        <w:trPr>
          <w:trHeight w:val="116"/>
        </w:trPr>
        <w:tc>
          <w:tcPr>
            <w:tcW w:w="3184" w:type="dxa"/>
          </w:tcPr>
          <w:p w14:paraId="2CA69FC4" w14:textId="1D7BBFC8" w:rsidR="00FD2D8A" w:rsidRPr="006870FB" w:rsidRDefault="00FD2D8A" w:rsidP="00553144">
            <w:pPr>
              <w:pStyle w:val="ListParagraph"/>
              <w:numPr>
                <w:ilvl w:val="0"/>
                <w:numId w:val="4"/>
              </w:numPr>
              <w:autoSpaceDE w:val="0"/>
              <w:autoSpaceDN w:val="0"/>
              <w:adjustRightInd w:val="0"/>
              <w:spacing w:after="0" w:line="240" w:lineRule="auto"/>
              <w:rPr>
                <w:rFonts w:cstheme="minorHAnsi"/>
                <w:bCs/>
                <w:color w:val="000000"/>
              </w:rPr>
            </w:pPr>
            <w:r w:rsidRPr="006870FB">
              <w:rPr>
                <w:rFonts w:cstheme="minorHAnsi"/>
                <w:bCs/>
                <w:color w:val="000000"/>
              </w:rPr>
              <w:t xml:space="preserve">Social/Policy </w:t>
            </w:r>
          </w:p>
        </w:tc>
        <w:tc>
          <w:tcPr>
            <w:tcW w:w="3186" w:type="dxa"/>
          </w:tcPr>
          <w:p w14:paraId="6FAC93B4" w14:textId="19AE8672" w:rsidR="00FD2D8A" w:rsidRPr="002C47E0" w:rsidRDefault="00FD2D8A" w:rsidP="00A16F26">
            <w:pPr>
              <w:autoSpaceDE w:val="0"/>
              <w:autoSpaceDN w:val="0"/>
              <w:adjustRightInd w:val="0"/>
              <w:spacing w:after="0" w:line="240" w:lineRule="auto"/>
              <w:rPr>
                <w:rFonts w:cstheme="minorHAnsi"/>
                <w:color w:val="000000"/>
                <w:lang w:val="es-MX"/>
              </w:rPr>
            </w:pPr>
            <w:r w:rsidRPr="002C47E0">
              <w:rPr>
                <w:rFonts w:cstheme="minorHAnsi"/>
                <w:color w:val="000000"/>
                <w:lang w:val="es-MX"/>
              </w:rPr>
              <w:t xml:space="preserve">2% </w:t>
            </w:r>
            <w:r w:rsidR="00050C68" w:rsidRPr="002C47E0">
              <w:rPr>
                <w:rFonts w:cstheme="minorHAnsi"/>
                <w:color w:val="000000"/>
                <w:lang w:val="es-MX"/>
              </w:rPr>
              <w:t>(</w:t>
            </w:r>
            <w:r w:rsidRPr="002C47E0">
              <w:rPr>
                <w:rFonts w:cstheme="minorHAnsi"/>
                <w:color w:val="000000"/>
                <w:lang w:val="es-MX"/>
              </w:rPr>
              <w:t>Default Value</w:t>
            </w:r>
            <w:r w:rsidR="00050C68" w:rsidRPr="002C47E0">
              <w:rPr>
                <w:rFonts w:cstheme="minorHAnsi"/>
                <w:color w:val="000000"/>
                <w:lang w:val="es-MX"/>
              </w:rPr>
              <w:t>)</w:t>
            </w:r>
            <w:r w:rsidRPr="002C47E0">
              <w:rPr>
                <w:rFonts w:cstheme="minorHAnsi"/>
                <w:color w:val="000000"/>
                <w:lang w:val="es-MX"/>
              </w:rPr>
              <w:t xml:space="preserve"> </w:t>
            </w:r>
          </w:p>
          <w:p w14:paraId="4AAB4611" w14:textId="77777777" w:rsidR="00FD2D8A" w:rsidRPr="00815934" w:rsidRDefault="00FD2D8A" w:rsidP="00A16F26">
            <w:pPr>
              <w:autoSpaceDE w:val="0"/>
              <w:autoSpaceDN w:val="0"/>
              <w:adjustRightInd w:val="0"/>
              <w:spacing w:after="0" w:line="240" w:lineRule="auto"/>
              <w:rPr>
                <w:rFonts w:cstheme="minorHAnsi"/>
                <w:color w:val="000000"/>
                <w:highlight w:val="yellow"/>
                <w:lang w:val="es-MX"/>
              </w:rPr>
            </w:pPr>
          </w:p>
        </w:tc>
      </w:tr>
      <w:tr w:rsidR="00FD2D8A" w:rsidRPr="00DB0ADF" w14:paraId="20FEC6D5" w14:textId="77777777" w:rsidTr="00FD2D8A">
        <w:trPr>
          <w:trHeight w:val="116"/>
        </w:trPr>
        <w:tc>
          <w:tcPr>
            <w:tcW w:w="3184" w:type="dxa"/>
          </w:tcPr>
          <w:p w14:paraId="1FE197F8" w14:textId="75F02A01" w:rsidR="00FD2D8A" w:rsidRPr="006870FB" w:rsidRDefault="00FD2D8A" w:rsidP="00553144">
            <w:pPr>
              <w:pStyle w:val="ListParagraph"/>
              <w:numPr>
                <w:ilvl w:val="0"/>
                <w:numId w:val="4"/>
              </w:numPr>
              <w:autoSpaceDE w:val="0"/>
              <w:autoSpaceDN w:val="0"/>
              <w:adjustRightInd w:val="0"/>
              <w:spacing w:after="0" w:line="240" w:lineRule="auto"/>
              <w:rPr>
                <w:rFonts w:cstheme="minorHAnsi"/>
                <w:bCs/>
                <w:color w:val="000000"/>
              </w:rPr>
            </w:pPr>
            <w:r w:rsidRPr="006870FB">
              <w:rPr>
                <w:rFonts w:cstheme="minorHAnsi"/>
                <w:bCs/>
                <w:color w:val="000000"/>
              </w:rPr>
              <w:t xml:space="preserve">Conservation Easement Deduction </w:t>
            </w:r>
          </w:p>
        </w:tc>
        <w:tc>
          <w:tcPr>
            <w:tcW w:w="3186" w:type="dxa"/>
          </w:tcPr>
          <w:p w14:paraId="2B16ECC6" w14:textId="48B2DA5D" w:rsidR="00FD2D8A" w:rsidRPr="002C47E0" w:rsidRDefault="007165A6" w:rsidP="00FD2D8A">
            <w:pPr>
              <w:autoSpaceDE w:val="0"/>
              <w:autoSpaceDN w:val="0"/>
              <w:adjustRightInd w:val="0"/>
              <w:spacing w:after="0" w:line="240" w:lineRule="auto"/>
              <w:rPr>
                <w:rFonts w:cstheme="minorHAnsi"/>
                <w:color w:val="000000"/>
              </w:rPr>
            </w:pPr>
            <w:r w:rsidRPr="002C47E0">
              <w:rPr>
                <w:rFonts w:cstheme="minorHAnsi"/>
                <w:bCs/>
                <w:color w:val="000000"/>
              </w:rPr>
              <w:t>0</w:t>
            </w:r>
            <w:r w:rsidR="00FD2D8A" w:rsidRPr="002C47E0">
              <w:rPr>
                <w:rFonts w:cstheme="minorHAnsi"/>
                <w:bCs/>
                <w:color w:val="000000"/>
              </w:rPr>
              <w:t xml:space="preserve">% </w:t>
            </w:r>
            <w:r w:rsidR="00050C68" w:rsidRPr="002C47E0">
              <w:rPr>
                <w:rFonts w:cstheme="minorHAnsi"/>
                <w:bCs/>
                <w:color w:val="000000"/>
              </w:rPr>
              <w:t>(</w:t>
            </w:r>
            <w:r w:rsidRPr="002C47E0">
              <w:rPr>
                <w:rFonts w:cstheme="minorHAnsi"/>
                <w:bCs/>
                <w:color w:val="000000"/>
              </w:rPr>
              <w:t>No easement</w:t>
            </w:r>
            <w:r w:rsidR="00050C68" w:rsidRPr="002C47E0">
              <w:rPr>
                <w:rFonts w:cstheme="minorHAnsi"/>
                <w:bCs/>
                <w:color w:val="000000"/>
              </w:rPr>
              <w:t>)</w:t>
            </w:r>
            <w:r w:rsidR="00FD2D8A" w:rsidRPr="002C47E0">
              <w:rPr>
                <w:rFonts w:cstheme="minorHAnsi"/>
                <w:bCs/>
                <w:color w:val="000000"/>
              </w:rPr>
              <w:t xml:space="preserve"> </w:t>
            </w:r>
          </w:p>
          <w:p w14:paraId="2C8FBAD2" w14:textId="77777777" w:rsidR="00FD2D8A" w:rsidRPr="00815934" w:rsidRDefault="00FD2D8A" w:rsidP="00FD2D8A">
            <w:pPr>
              <w:autoSpaceDE w:val="0"/>
              <w:autoSpaceDN w:val="0"/>
              <w:adjustRightInd w:val="0"/>
              <w:spacing w:after="0" w:line="240" w:lineRule="auto"/>
              <w:rPr>
                <w:rFonts w:cstheme="minorHAnsi"/>
                <w:color w:val="000000"/>
                <w:highlight w:val="yellow"/>
                <w:lang w:val="es-MX"/>
              </w:rPr>
            </w:pPr>
          </w:p>
        </w:tc>
      </w:tr>
      <w:tr w:rsidR="00FD2D8A" w:rsidRPr="00DB0ADF" w14:paraId="2D7233F7" w14:textId="77777777" w:rsidTr="00FD2D8A">
        <w:trPr>
          <w:trHeight w:val="116"/>
        </w:trPr>
        <w:tc>
          <w:tcPr>
            <w:tcW w:w="3184" w:type="dxa"/>
          </w:tcPr>
          <w:p w14:paraId="500DBAE2" w14:textId="4F13E31B" w:rsidR="00FD2D8A" w:rsidRPr="006870FB" w:rsidRDefault="00FD2D8A" w:rsidP="00553144">
            <w:pPr>
              <w:pStyle w:val="ListParagraph"/>
              <w:numPr>
                <w:ilvl w:val="0"/>
                <w:numId w:val="4"/>
              </w:numPr>
              <w:autoSpaceDE w:val="0"/>
              <w:autoSpaceDN w:val="0"/>
              <w:adjustRightInd w:val="0"/>
              <w:spacing w:after="0" w:line="240" w:lineRule="auto"/>
              <w:rPr>
                <w:rFonts w:cstheme="minorHAnsi"/>
                <w:bCs/>
                <w:color w:val="000000"/>
              </w:rPr>
            </w:pPr>
            <w:r w:rsidRPr="006870FB">
              <w:rPr>
                <w:rFonts w:cstheme="minorHAnsi"/>
                <w:bCs/>
                <w:color w:val="000000"/>
              </w:rPr>
              <w:t>Fire</w:t>
            </w:r>
          </w:p>
        </w:tc>
        <w:tc>
          <w:tcPr>
            <w:tcW w:w="3186" w:type="dxa"/>
          </w:tcPr>
          <w:p w14:paraId="39C74A17" w14:textId="5178DA9B" w:rsidR="00FD2D8A" w:rsidRPr="00815934" w:rsidRDefault="00FD2D8A" w:rsidP="00A16F26">
            <w:pPr>
              <w:autoSpaceDE w:val="0"/>
              <w:autoSpaceDN w:val="0"/>
              <w:adjustRightInd w:val="0"/>
              <w:spacing w:after="0" w:line="240" w:lineRule="auto"/>
              <w:rPr>
                <w:rFonts w:cstheme="minorHAnsi"/>
                <w:color w:val="000000"/>
                <w:highlight w:val="yellow"/>
              </w:rPr>
            </w:pPr>
            <w:r w:rsidRPr="008F3CBA">
              <w:rPr>
                <w:rFonts w:cstheme="minorHAnsi"/>
                <w:bCs/>
                <w:color w:val="000000"/>
              </w:rPr>
              <w:t xml:space="preserve">2% </w:t>
            </w:r>
            <w:r w:rsidR="00050C68" w:rsidRPr="008F3CBA">
              <w:rPr>
                <w:rFonts w:cstheme="minorHAnsi"/>
                <w:bCs/>
                <w:color w:val="000000"/>
              </w:rPr>
              <w:t>(</w:t>
            </w:r>
            <w:r w:rsidRPr="008F3CBA">
              <w:rPr>
                <w:rFonts w:cstheme="minorHAnsi"/>
                <w:bCs/>
                <w:color w:val="000000"/>
              </w:rPr>
              <w:t>project is located in low fire risk region</w:t>
            </w:r>
            <w:r w:rsidR="00145C17" w:rsidRPr="008F3CBA">
              <w:rPr>
                <w:rStyle w:val="FootnoteReference"/>
                <w:rFonts w:cstheme="minorHAnsi"/>
                <w:bCs/>
                <w:color w:val="000000"/>
              </w:rPr>
              <w:footnoteReference w:id="3"/>
            </w:r>
            <w:r w:rsidRPr="008F3CBA">
              <w:rPr>
                <w:rFonts w:cstheme="minorHAnsi"/>
                <w:bCs/>
                <w:color w:val="000000"/>
              </w:rPr>
              <w:t>)</w:t>
            </w:r>
          </w:p>
        </w:tc>
      </w:tr>
      <w:tr w:rsidR="00FD2D8A" w:rsidRPr="00DB0ADF" w14:paraId="49D68E2F" w14:textId="77777777" w:rsidTr="00FD2D8A">
        <w:trPr>
          <w:trHeight w:val="116"/>
        </w:trPr>
        <w:tc>
          <w:tcPr>
            <w:tcW w:w="3184" w:type="dxa"/>
          </w:tcPr>
          <w:p w14:paraId="040225B8" w14:textId="274A8064" w:rsidR="00FD2D8A" w:rsidRPr="006870FB" w:rsidRDefault="00FD2D8A" w:rsidP="00553144">
            <w:pPr>
              <w:pStyle w:val="ListParagraph"/>
              <w:numPr>
                <w:ilvl w:val="0"/>
                <w:numId w:val="4"/>
              </w:numPr>
              <w:autoSpaceDE w:val="0"/>
              <w:autoSpaceDN w:val="0"/>
              <w:adjustRightInd w:val="0"/>
              <w:spacing w:after="0" w:line="240" w:lineRule="auto"/>
              <w:rPr>
                <w:rFonts w:cstheme="minorHAnsi"/>
                <w:bCs/>
                <w:color w:val="000000"/>
              </w:rPr>
            </w:pPr>
            <w:r w:rsidRPr="006870FB">
              <w:rPr>
                <w:rFonts w:cstheme="minorHAnsi"/>
                <w:bCs/>
                <w:color w:val="000000"/>
                <w:lang w:val="es-MX"/>
              </w:rPr>
              <w:t>Diseases and Pests</w:t>
            </w:r>
          </w:p>
        </w:tc>
        <w:tc>
          <w:tcPr>
            <w:tcW w:w="3186" w:type="dxa"/>
          </w:tcPr>
          <w:p w14:paraId="616DBC1D" w14:textId="6DCDCFCD" w:rsidR="00FD2D8A" w:rsidRPr="00FE2B14" w:rsidRDefault="00FD2D8A" w:rsidP="00A16F26">
            <w:pPr>
              <w:autoSpaceDE w:val="0"/>
              <w:autoSpaceDN w:val="0"/>
              <w:adjustRightInd w:val="0"/>
              <w:spacing w:after="0" w:line="240" w:lineRule="auto"/>
              <w:rPr>
                <w:rFonts w:cstheme="minorHAnsi"/>
                <w:color w:val="000000"/>
              </w:rPr>
            </w:pPr>
            <w:r w:rsidRPr="00FE2B14">
              <w:rPr>
                <w:rFonts w:cstheme="minorHAnsi"/>
                <w:color w:val="000000"/>
              </w:rPr>
              <w:t>4% Default Value</w:t>
            </w:r>
            <w:r w:rsidR="003478C1" w:rsidRPr="00FE2B14">
              <w:rPr>
                <w:rStyle w:val="FootnoteReference"/>
                <w:rFonts w:cstheme="minorHAnsi"/>
                <w:color w:val="000000"/>
              </w:rPr>
              <w:footnoteReference w:id="4"/>
            </w:r>
          </w:p>
        </w:tc>
      </w:tr>
      <w:tr w:rsidR="00FD2D8A" w:rsidRPr="00DB0ADF" w14:paraId="109A6D48" w14:textId="77777777" w:rsidTr="00FD2D8A">
        <w:trPr>
          <w:trHeight w:val="116"/>
        </w:trPr>
        <w:tc>
          <w:tcPr>
            <w:tcW w:w="3184" w:type="dxa"/>
          </w:tcPr>
          <w:p w14:paraId="1BCD23C2" w14:textId="19262827" w:rsidR="00FD2D8A" w:rsidRPr="006870FB" w:rsidRDefault="00FD2D8A" w:rsidP="00553144">
            <w:pPr>
              <w:pStyle w:val="ListParagraph"/>
              <w:numPr>
                <w:ilvl w:val="0"/>
                <w:numId w:val="4"/>
              </w:numPr>
              <w:autoSpaceDE w:val="0"/>
              <w:autoSpaceDN w:val="0"/>
              <w:adjustRightInd w:val="0"/>
              <w:spacing w:after="0" w:line="240" w:lineRule="auto"/>
              <w:rPr>
                <w:rFonts w:cstheme="minorHAnsi"/>
                <w:bCs/>
                <w:color w:val="000000"/>
              </w:rPr>
            </w:pPr>
            <w:r w:rsidRPr="006870FB">
              <w:rPr>
                <w:rFonts w:cstheme="minorHAnsi"/>
                <w:bCs/>
                <w:color w:val="000000"/>
              </w:rPr>
              <w:t>Levee Failure and Water Table Changes</w:t>
            </w:r>
          </w:p>
        </w:tc>
        <w:tc>
          <w:tcPr>
            <w:tcW w:w="3186" w:type="dxa"/>
          </w:tcPr>
          <w:p w14:paraId="27E17D8E" w14:textId="582C5C94" w:rsidR="00FD2D8A" w:rsidRPr="00FE2B14" w:rsidRDefault="00FD2D8A" w:rsidP="00A16F26">
            <w:pPr>
              <w:autoSpaceDE w:val="0"/>
              <w:autoSpaceDN w:val="0"/>
              <w:adjustRightInd w:val="0"/>
              <w:spacing w:after="0" w:line="240" w:lineRule="auto"/>
              <w:rPr>
                <w:rFonts w:cstheme="minorHAnsi"/>
                <w:color w:val="000000"/>
              </w:rPr>
            </w:pPr>
            <w:r w:rsidRPr="00FE2B14">
              <w:rPr>
                <w:rFonts w:cstheme="minorHAnsi"/>
                <w:color w:val="000000"/>
              </w:rPr>
              <w:t>0% (&lt;60% of the project area is a forested wetland</w:t>
            </w:r>
            <w:r w:rsidR="00264C83">
              <w:rPr>
                <w:rFonts w:cstheme="minorHAnsi"/>
                <w:color w:val="000000"/>
              </w:rPr>
              <w:t>; see below</w:t>
            </w:r>
            <w:r w:rsidRPr="00FE2B14">
              <w:rPr>
                <w:rFonts w:cstheme="minorHAnsi"/>
                <w:color w:val="000000"/>
              </w:rPr>
              <w:t>)</w:t>
            </w:r>
          </w:p>
        </w:tc>
      </w:tr>
      <w:tr w:rsidR="00FD2D8A" w:rsidRPr="00DB0ADF" w14:paraId="5A9F3212" w14:textId="77777777" w:rsidTr="00FD2D8A">
        <w:trPr>
          <w:trHeight w:val="116"/>
        </w:trPr>
        <w:tc>
          <w:tcPr>
            <w:tcW w:w="3184" w:type="dxa"/>
          </w:tcPr>
          <w:p w14:paraId="5997372C" w14:textId="3CFC4942" w:rsidR="00FD2D8A" w:rsidRPr="006870FB" w:rsidRDefault="00FD2D8A" w:rsidP="00553144">
            <w:pPr>
              <w:pStyle w:val="ListParagraph"/>
              <w:numPr>
                <w:ilvl w:val="0"/>
                <w:numId w:val="4"/>
              </w:numPr>
              <w:autoSpaceDE w:val="0"/>
              <w:autoSpaceDN w:val="0"/>
              <w:adjustRightInd w:val="0"/>
              <w:spacing w:after="0" w:line="240" w:lineRule="auto"/>
              <w:rPr>
                <w:rFonts w:cstheme="minorHAnsi"/>
                <w:bCs/>
                <w:color w:val="000000"/>
              </w:rPr>
            </w:pPr>
            <w:r w:rsidRPr="006870FB">
              <w:rPr>
                <w:rFonts w:cstheme="minorHAnsi"/>
                <w:bCs/>
                <w:color w:val="000000"/>
                <w:lang w:val="es-MX"/>
              </w:rPr>
              <w:t>Other Natural Disaster Events</w:t>
            </w:r>
          </w:p>
        </w:tc>
        <w:tc>
          <w:tcPr>
            <w:tcW w:w="3186" w:type="dxa"/>
          </w:tcPr>
          <w:p w14:paraId="192C7C09" w14:textId="7CC1C579" w:rsidR="00FD2D8A" w:rsidRPr="00FE2B14" w:rsidRDefault="00FD2D8A" w:rsidP="00A16F26">
            <w:pPr>
              <w:autoSpaceDE w:val="0"/>
              <w:autoSpaceDN w:val="0"/>
              <w:adjustRightInd w:val="0"/>
              <w:spacing w:after="0" w:line="240" w:lineRule="auto"/>
              <w:rPr>
                <w:rFonts w:cstheme="minorHAnsi"/>
                <w:color w:val="000000"/>
              </w:rPr>
            </w:pPr>
            <w:r w:rsidRPr="00FE2B14">
              <w:rPr>
                <w:rFonts w:cstheme="minorHAnsi"/>
                <w:color w:val="000000"/>
              </w:rPr>
              <w:t>2% Default Value</w:t>
            </w:r>
          </w:p>
        </w:tc>
      </w:tr>
      <w:tr w:rsidR="00FD2D8A" w:rsidRPr="00A16F26" w14:paraId="09F30ED9" w14:textId="77777777" w:rsidTr="00FD2D8A">
        <w:trPr>
          <w:trHeight w:val="116"/>
        </w:trPr>
        <w:tc>
          <w:tcPr>
            <w:tcW w:w="3184" w:type="dxa"/>
          </w:tcPr>
          <w:p w14:paraId="18EC0761" w14:textId="5D655C3A" w:rsidR="00FD2D8A" w:rsidRPr="006870FB" w:rsidRDefault="00FD2D8A" w:rsidP="00FD2D8A">
            <w:pPr>
              <w:pStyle w:val="ListParagraph"/>
              <w:autoSpaceDE w:val="0"/>
              <w:autoSpaceDN w:val="0"/>
              <w:adjustRightInd w:val="0"/>
              <w:spacing w:after="0" w:line="240" w:lineRule="auto"/>
              <w:rPr>
                <w:rFonts w:cstheme="minorHAnsi"/>
                <w:b/>
                <w:bCs/>
                <w:color w:val="000000"/>
                <w:lang w:val="es-MX"/>
              </w:rPr>
            </w:pPr>
            <w:r w:rsidRPr="006870FB">
              <w:rPr>
                <w:rFonts w:cstheme="minorHAnsi"/>
                <w:b/>
                <w:bCs/>
                <w:color w:val="000000"/>
                <w:lang w:val="es-MX"/>
              </w:rPr>
              <w:t>TOTAL</w:t>
            </w:r>
          </w:p>
        </w:tc>
        <w:tc>
          <w:tcPr>
            <w:tcW w:w="3186" w:type="dxa"/>
          </w:tcPr>
          <w:p w14:paraId="31E3C46B" w14:textId="521BDD97" w:rsidR="00FD2D8A" w:rsidRPr="00FE2B14" w:rsidRDefault="00FD2D8A" w:rsidP="00A16F26">
            <w:pPr>
              <w:autoSpaceDE w:val="0"/>
              <w:autoSpaceDN w:val="0"/>
              <w:adjustRightInd w:val="0"/>
              <w:spacing w:after="0" w:line="240" w:lineRule="auto"/>
              <w:rPr>
                <w:rFonts w:cstheme="minorHAnsi"/>
                <w:color w:val="000000"/>
              </w:rPr>
            </w:pPr>
            <w:r w:rsidRPr="00FE2B14">
              <w:rPr>
                <w:rFonts w:cstheme="minorHAnsi"/>
                <w:color w:val="000000"/>
              </w:rPr>
              <w:t>1</w:t>
            </w:r>
            <w:r w:rsidR="00105635">
              <w:rPr>
                <w:rFonts w:cstheme="minorHAnsi"/>
                <w:color w:val="000000"/>
              </w:rPr>
              <w:t>6</w:t>
            </w:r>
            <w:r w:rsidRPr="00FE2B14">
              <w:rPr>
                <w:rFonts w:cstheme="minorHAnsi"/>
                <w:color w:val="000000"/>
              </w:rPr>
              <w:t>%</w:t>
            </w:r>
          </w:p>
        </w:tc>
      </w:tr>
    </w:tbl>
    <w:p w14:paraId="4AF4549D" w14:textId="6F01466F" w:rsidR="00A16F26" w:rsidRDefault="00A16F26" w:rsidP="00580B7D"/>
    <w:p w14:paraId="6A45A15F" w14:textId="690DC269" w:rsidR="00264C83" w:rsidRDefault="00264C83" w:rsidP="00264C83">
      <w:r>
        <w:t xml:space="preserve">To assess areal proportion of forested wetland, we clipped the 2011 Southeast GAP raster dataset and the 2016 NLCD dataset to the </w:t>
      </w:r>
      <w:r w:rsidR="007B126E">
        <w:t xml:space="preserve">approximate </w:t>
      </w:r>
      <w:r>
        <w:t xml:space="preserve">project area. The relevant forested wetland land use classifications include “Central Hardwoods Floodplain Forest” from SE-GAP and “Woody Wetland” from NLCD. As detailed in the table below, the project area contains &lt;2% forested wetland, well below the 60% wetland threshold specified in the ACR Risk Tool. </w:t>
      </w:r>
    </w:p>
    <w:p w14:paraId="0C4CB55F" w14:textId="77777777" w:rsidR="00264C83" w:rsidRDefault="00264C83" w:rsidP="00264C83"/>
    <w:tbl>
      <w:tblPr>
        <w:tblW w:w="8523" w:type="dxa"/>
        <w:tblCellMar>
          <w:left w:w="0" w:type="dxa"/>
          <w:right w:w="0" w:type="dxa"/>
        </w:tblCellMar>
        <w:tblLook w:val="04A0" w:firstRow="1" w:lastRow="0" w:firstColumn="1" w:lastColumn="0" w:noHBand="0" w:noVBand="1"/>
      </w:tblPr>
      <w:tblGrid>
        <w:gridCol w:w="1163"/>
        <w:gridCol w:w="3612"/>
        <w:gridCol w:w="1507"/>
        <w:gridCol w:w="1207"/>
        <w:gridCol w:w="1034"/>
      </w:tblGrid>
      <w:tr w:rsidR="00264C83" w14:paraId="15AB6008" w14:textId="77777777" w:rsidTr="000D69A4">
        <w:trPr>
          <w:trHeight w:val="301"/>
        </w:trPr>
        <w:tc>
          <w:tcPr>
            <w:tcW w:w="116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9C37AE6" w14:textId="77777777" w:rsidR="00264C83" w:rsidRDefault="00264C83">
            <w:pPr>
              <w:rPr>
                <w:b/>
                <w:bCs/>
                <w:color w:val="000000"/>
              </w:rPr>
            </w:pPr>
            <w:r>
              <w:rPr>
                <w:b/>
                <w:bCs/>
                <w:color w:val="000000"/>
              </w:rPr>
              <w:t>Data</w:t>
            </w:r>
          </w:p>
        </w:tc>
        <w:tc>
          <w:tcPr>
            <w:tcW w:w="361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6B4EA87D" w14:textId="77777777" w:rsidR="00264C83" w:rsidRDefault="00264C83">
            <w:pPr>
              <w:rPr>
                <w:b/>
                <w:bCs/>
                <w:color w:val="000000"/>
              </w:rPr>
            </w:pPr>
            <w:r>
              <w:rPr>
                <w:b/>
                <w:bCs/>
                <w:color w:val="000000"/>
              </w:rPr>
              <w:t>Land Type</w:t>
            </w:r>
          </w:p>
        </w:tc>
        <w:tc>
          <w:tcPr>
            <w:tcW w:w="150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43A2A292" w14:textId="37B22BBC" w:rsidR="00264C83" w:rsidRDefault="007B126E">
            <w:pPr>
              <w:rPr>
                <w:b/>
                <w:bCs/>
                <w:color w:val="000000"/>
              </w:rPr>
            </w:pPr>
            <w:r>
              <w:rPr>
                <w:b/>
                <w:bCs/>
                <w:color w:val="000000"/>
              </w:rPr>
              <w:t>Approximate w</w:t>
            </w:r>
            <w:r w:rsidR="00264C83">
              <w:rPr>
                <w:b/>
                <w:bCs/>
                <w:color w:val="000000"/>
              </w:rPr>
              <w:t>etland acres</w:t>
            </w:r>
          </w:p>
        </w:tc>
        <w:tc>
          <w:tcPr>
            <w:tcW w:w="120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514388E4" w14:textId="4BF03419" w:rsidR="00264C83" w:rsidRDefault="007B126E">
            <w:pPr>
              <w:rPr>
                <w:b/>
                <w:bCs/>
                <w:color w:val="000000"/>
              </w:rPr>
            </w:pPr>
            <w:r>
              <w:rPr>
                <w:b/>
                <w:bCs/>
                <w:color w:val="000000"/>
              </w:rPr>
              <w:t>Approx. t</w:t>
            </w:r>
            <w:r w:rsidR="00264C83">
              <w:rPr>
                <w:b/>
                <w:bCs/>
                <w:color w:val="000000"/>
              </w:rPr>
              <w:t>otal acres</w:t>
            </w:r>
          </w:p>
        </w:tc>
        <w:tc>
          <w:tcPr>
            <w:tcW w:w="103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26E7621B" w14:textId="77777777" w:rsidR="00264C83" w:rsidRDefault="00264C83">
            <w:pPr>
              <w:rPr>
                <w:b/>
                <w:bCs/>
                <w:color w:val="000000"/>
              </w:rPr>
            </w:pPr>
            <w:r>
              <w:rPr>
                <w:b/>
                <w:bCs/>
                <w:color w:val="000000"/>
              </w:rPr>
              <w:t>% Area</w:t>
            </w:r>
          </w:p>
        </w:tc>
      </w:tr>
      <w:tr w:rsidR="00264C83" w14:paraId="56529E46" w14:textId="77777777" w:rsidTr="000D69A4">
        <w:trPr>
          <w:trHeight w:val="301"/>
        </w:trPr>
        <w:tc>
          <w:tcPr>
            <w:tcW w:w="11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A8FCB8D" w14:textId="77777777" w:rsidR="00264C83" w:rsidRDefault="00264C83">
            <w:pPr>
              <w:rPr>
                <w:color w:val="000000"/>
              </w:rPr>
            </w:pPr>
            <w:r>
              <w:rPr>
                <w:color w:val="000000"/>
              </w:rPr>
              <w:t>GAP 2011</w:t>
            </w:r>
          </w:p>
        </w:tc>
        <w:tc>
          <w:tcPr>
            <w:tcW w:w="36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980C65A" w14:textId="77777777" w:rsidR="00264C83" w:rsidRDefault="00264C83">
            <w:pPr>
              <w:rPr>
                <w:color w:val="000000"/>
              </w:rPr>
            </w:pPr>
            <w:r>
              <w:rPr>
                <w:color w:val="000000"/>
              </w:rPr>
              <w:t>Central Hardwoods Floodplain Forest</w:t>
            </w:r>
          </w:p>
        </w:tc>
        <w:tc>
          <w:tcPr>
            <w:tcW w:w="150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C463446" w14:textId="75BFF994" w:rsidR="00264C83" w:rsidRDefault="00264C83">
            <w:pPr>
              <w:rPr>
                <w:color w:val="000000"/>
              </w:rPr>
            </w:pPr>
            <w:r>
              <w:rPr>
                <w:color w:val="000000"/>
              </w:rPr>
              <w:t>             17</w:t>
            </w:r>
            <w:r w:rsidR="007B126E">
              <w:rPr>
                <w:color w:val="000000"/>
              </w:rPr>
              <w:t>1</w:t>
            </w:r>
            <w:r>
              <w:rPr>
                <w:color w:val="000000"/>
              </w:rPr>
              <w:t xml:space="preserve"> </w:t>
            </w:r>
          </w:p>
        </w:tc>
        <w:tc>
          <w:tcPr>
            <w:tcW w:w="120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C504981" w14:textId="0462D799" w:rsidR="00264C83" w:rsidRPr="00E53366" w:rsidRDefault="00264C83">
            <w:pPr>
              <w:rPr>
                <w:color w:val="000000"/>
              </w:rPr>
            </w:pPr>
            <w:r w:rsidRPr="00FF075A">
              <w:rPr>
                <w:color w:val="000000"/>
              </w:rPr>
              <w:t xml:space="preserve">  11,366 </w:t>
            </w:r>
          </w:p>
        </w:tc>
        <w:tc>
          <w:tcPr>
            <w:tcW w:w="10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F20BF2A" w14:textId="77777777" w:rsidR="00264C83" w:rsidRPr="00FF075A" w:rsidRDefault="00264C83">
            <w:pPr>
              <w:jc w:val="right"/>
              <w:rPr>
                <w:color w:val="000000"/>
              </w:rPr>
            </w:pPr>
            <w:r w:rsidRPr="00FF075A">
              <w:rPr>
                <w:color w:val="000000"/>
              </w:rPr>
              <w:t>1.5%</w:t>
            </w:r>
          </w:p>
        </w:tc>
      </w:tr>
      <w:tr w:rsidR="00264C83" w14:paraId="61D81350" w14:textId="77777777" w:rsidTr="000D69A4">
        <w:trPr>
          <w:trHeight w:val="301"/>
        </w:trPr>
        <w:tc>
          <w:tcPr>
            <w:tcW w:w="116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A8ED28D" w14:textId="77777777" w:rsidR="00264C83" w:rsidRDefault="00264C83">
            <w:pPr>
              <w:rPr>
                <w:color w:val="000000"/>
              </w:rPr>
            </w:pPr>
            <w:r>
              <w:rPr>
                <w:color w:val="000000"/>
              </w:rPr>
              <w:t>NLCD 2016</w:t>
            </w:r>
          </w:p>
        </w:tc>
        <w:tc>
          <w:tcPr>
            <w:tcW w:w="36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4302D03" w14:textId="77777777" w:rsidR="00264C83" w:rsidRDefault="00264C83">
            <w:pPr>
              <w:rPr>
                <w:color w:val="000000"/>
              </w:rPr>
            </w:pPr>
            <w:r>
              <w:rPr>
                <w:color w:val="000000"/>
              </w:rPr>
              <w:t>Woody Wetland</w:t>
            </w:r>
          </w:p>
        </w:tc>
        <w:tc>
          <w:tcPr>
            <w:tcW w:w="150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73B9200" w14:textId="3EEF3210" w:rsidR="00264C83" w:rsidRDefault="00264C83">
            <w:pPr>
              <w:rPr>
                <w:color w:val="000000"/>
              </w:rPr>
            </w:pPr>
            <w:r>
              <w:rPr>
                <w:color w:val="000000"/>
              </w:rPr>
              <w:t>               1</w:t>
            </w:r>
            <w:r w:rsidR="007B126E">
              <w:rPr>
                <w:color w:val="000000"/>
              </w:rPr>
              <w:t>5</w:t>
            </w:r>
            <w:r>
              <w:rPr>
                <w:color w:val="000000"/>
              </w:rPr>
              <w:t xml:space="preserve"> </w:t>
            </w:r>
          </w:p>
        </w:tc>
        <w:tc>
          <w:tcPr>
            <w:tcW w:w="120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35CCF88" w14:textId="2BA19C94" w:rsidR="00264C83" w:rsidRPr="00E53366" w:rsidRDefault="00264C83">
            <w:pPr>
              <w:rPr>
                <w:color w:val="000000"/>
              </w:rPr>
            </w:pPr>
            <w:r w:rsidRPr="00FF075A">
              <w:rPr>
                <w:color w:val="000000"/>
              </w:rPr>
              <w:t xml:space="preserve">  11,366 </w:t>
            </w:r>
          </w:p>
        </w:tc>
        <w:tc>
          <w:tcPr>
            <w:tcW w:w="10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A9283D2" w14:textId="77777777" w:rsidR="00264C83" w:rsidRPr="00FF075A" w:rsidRDefault="00264C83">
            <w:pPr>
              <w:jc w:val="right"/>
              <w:rPr>
                <w:color w:val="000000"/>
              </w:rPr>
            </w:pPr>
            <w:r w:rsidRPr="00FF075A">
              <w:rPr>
                <w:color w:val="000000"/>
              </w:rPr>
              <w:t>0.1%</w:t>
            </w:r>
          </w:p>
        </w:tc>
      </w:tr>
    </w:tbl>
    <w:p w14:paraId="3969C000" w14:textId="77777777" w:rsidR="00264C83" w:rsidRDefault="00264C83" w:rsidP="00264C83">
      <w:pPr>
        <w:rPr>
          <w:rFonts w:ascii="Calibri" w:hAnsi="Calibri" w:cs="Calibri"/>
        </w:rPr>
      </w:pPr>
    </w:p>
    <w:p w14:paraId="1EF811E1" w14:textId="77777777" w:rsidR="00264C83" w:rsidRPr="000521EC" w:rsidRDefault="00264C83" w:rsidP="00580B7D"/>
    <w:p w14:paraId="0E0BC616" w14:textId="57A4BF3F" w:rsidR="00A032A8" w:rsidRDefault="00EE1C1A" w:rsidP="00A032A8">
      <w:r w:rsidRPr="004D61C7">
        <w:t xml:space="preserve">The Minimum Buffer Percentage for the project is </w:t>
      </w:r>
      <w:r w:rsidR="00461296" w:rsidRPr="004D61C7">
        <w:t>16</w:t>
      </w:r>
      <w:r w:rsidRPr="004D61C7">
        <w:t>%, and the projected Buffer Contribution amount for the initial 20-year baseline period is</w:t>
      </w:r>
      <w:r w:rsidR="009A5360" w:rsidRPr="004D61C7">
        <w:t xml:space="preserve"> </w:t>
      </w:r>
      <w:r w:rsidR="00F30A70">
        <w:t>213,</w:t>
      </w:r>
      <w:r w:rsidR="007A7E2E">
        <w:t>339</w:t>
      </w:r>
      <w:r w:rsidR="00F30A70">
        <w:t xml:space="preserve"> </w:t>
      </w:r>
      <w:r w:rsidR="009A5360">
        <w:t>t CO2e</w:t>
      </w:r>
      <w:r w:rsidR="009B5157">
        <w:t xml:space="preserve"> (see “</w:t>
      </w:r>
      <w:r w:rsidR="009B5157" w:rsidRPr="009B5157">
        <w:t xml:space="preserve">ACR_Calcs </w:t>
      </w:r>
      <w:r w:rsidR="00815934">
        <w:t>UT</w:t>
      </w:r>
      <w:r w:rsidR="00CE68A1">
        <w:t>K</w:t>
      </w:r>
      <w:r w:rsidR="00F30A70">
        <w:t>*</w:t>
      </w:r>
      <w:r w:rsidR="009B5157">
        <w:t>.xls”</w:t>
      </w:r>
      <w:r w:rsidR="00EE3E34">
        <w:t>)</w:t>
      </w:r>
      <w:r w:rsidRPr="00EE1C1A">
        <w:t xml:space="preserve">. </w:t>
      </w:r>
      <w:r w:rsidR="00580B7D">
        <w:br w:type="page"/>
      </w:r>
    </w:p>
    <w:p w14:paraId="1B4EE48F" w14:textId="77777777" w:rsidR="00A16F26" w:rsidRDefault="00A16F26" w:rsidP="00A032A8">
      <w:pPr>
        <w:sectPr w:rsidR="00A16F26" w:rsidSect="00A032A8">
          <w:type w:val="oddPage"/>
          <w:pgSz w:w="12240" w:h="15840"/>
          <w:pgMar w:top="1440" w:right="1440" w:bottom="1440" w:left="1440" w:header="720" w:footer="144" w:gutter="0"/>
          <w:cols w:space="720"/>
          <w:docGrid w:linePitch="360"/>
        </w:sectPr>
      </w:pPr>
    </w:p>
    <w:p w14:paraId="74BAE992" w14:textId="77777777" w:rsidR="00580B7D" w:rsidRDefault="00580B7D" w:rsidP="00A032A8"/>
    <w:p w14:paraId="419F6CFE" w14:textId="77777777" w:rsidR="00580B7D" w:rsidRDefault="00580B7D" w:rsidP="006F54FC">
      <w:pPr>
        <w:pStyle w:val="Heading1"/>
      </w:pPr>
    </w:p>
    <w:p w14:paraId="1C2515EE" w14:textId="77777777" w:rsidR="00580B7D" w:rsidRDefault="00580B7D" w:rsidP="006F54FC">
      <w:pPr>
        <w:pStyle w:val="Heading1"/>
      </w:pPr>
    </w:p>
    <w:p w14:paraId="55C71424" w14:textId="77777777" w:rsidR="00580B7D" w:rsidRDefault="00580B7D" w:rsidP="006F54FC">
      <w:pPr>
        <w:pStyle w:val="Heading1"/>
      </w:pPr>
    </w:p>
    <w:p w14:paraId="515C8A42" w14:textId="77777777" w:rsidR="003349CF" w:rsidRDefault="00546796" w:rsidP="006F54FC">
      <w:pPr>
        <w:pStyle w:val="Heading1"/>
      </w:pPr>
      <w:bookmarkStart w:id="21" w:name="_Toc2243498"/>
      <w:r>
        <w:t>C.</w:t>
      </w:r>
      <w:r w:rsidR="003B7D55">
        <w:br/>
      </w:r>
      <w:r w:rsidR="006424C5">
        <w:t>ADDITIONALITY</w:t>
      </w:r>
      <w:bookmarkEnd w:id="21"/>
      <w:r w:rsidR="003349CF">
        <w:br w:type="page"/>
      </w:r>
    </w:p>
    <w:p w14:paraId="6630F65E" w14:textId="77777777" w:rsidR="00864FFA" w:rsidRDefault="00864FFA" w:rsidP="00A00750">
      <w:pPr>
        <w:pStyle w:val="Heading2"/>
        <w:rPr>
          <w:b w:val="0"/>
          <w:i/>
          <w:sz w:val="22"/>
          <w:szCs w:val="22"/>
        </w:rPr>
      </w:pPr>
    </w:p>
    <w:p w14:paraId="7F685FAB" w14:textId="77777777" w:rsidR="007F00E0" w:rsidRPr="00864FFA" w:rsidRDefault="007F00E0" w:rsidP="00864FFA">
      <w:pPr>
        <w:rPr>
          <w:b/>
          <w:i/>
        </w:rPr>
      </w:pPr>
    </w:p>
    <w:p w14:paraId="622B160F" w14:textId="6D81F446" w:rsidR="00A00750" w:rsidRPr="00935D74" w:rsidRDefault="00546796" w:rsidP="00A00750">
      <w:pPr>
        <w:pStyle w:val="Heading2"/>
        <w:rPr>
          <w:i/>
        </w:rPr>
      </w:pPr>
      <w:bookmarkStart w:id="22" w:name="_Toc2243499"/>
      <w:r w:rsidRPr="00AA7500">
        <w:t>C</w:t>
      </w:r>
      <w:r w:rsidR="002B2013" w:rsidRPr="00AA7500">
        <w:t>1</w:t>
      </w:r>
      <w:r w:rsidRPr="00AA7500">
        <w:t xml:space="preserve">. </w:t>
      </w:r>
      <w:r w:rsidR="00A00750">
        <w:t>REGUL</w:t>
      </w:r>
      <w:r w:rsidR="00A407B4">
        <w:t>A</w:t>
      </w:r>
      <w:r w:rsidR="00A00750">
        <w:t>TORY SURPLUS TEST</w:t>
      </w:r>
      <w:bookmarkEnd w:id="22"/>
    </w:p>
    <w:p w14:paraId="29FA2FDE" w14:textId="16F9338F" w:rsidR="0066442E" w:rsidRDefault="009F233E" w:rsidP="00A00750">
      <w:r>
        <w:t>T</w:t>
      </w:r>
      <w:r w:rsidR="0066442E" w:rsidRPr="0066442E">
        <w:t>he project activity is not required by law.</w:t>
      </w:r>
      <w:r>
        <w:t xml:space="preserve"> </w:t>
      </w:r>
      <w:r w:rsidR="00FB65A9">
        <w:t>There are no state or federal regulatory restrictions on forest management that apply to the project area. Nevertheless, voluntary Tennessee Best Management Practices (BMPs</w:t>
      </w:r>
      <w:r w:rsidR="00172707">
        <w:rPr>
          <w:rStyle w:val="FootnoteReference"/>
        </w:rPr>
        <w:footnoteReference w:id="5"/>
      </w:r>
      <w:r w:rsidR="00FB65A9">
        <w:t>)</w:t>
      </w:r>
      <w:r>
        <w:t xml:space="preserve"> </w:t>
      </w:r>
      <w:r w:rsidR="00B83829">
        <w:t xml:space="preserve">restrictions </w:t>
      </w:r>
      <w:r w:rsidR="00FB65A9">
        <w:t xml:space="preserve">around Streamside Management Zones (SMZs) </w:t>
      </w:r>
      <w:r>
        <w:t xml:space="preserve">are </w:t>
      </w:r>
      <w:r w:rsidR="00FB65A9">
        <w:t xml:space="preserve">conservatively </w:t>
      </w:r>
      <w:r>
        <w:t>incorporated in both the baseline and with-project scenarios</w:t>
      </w:r>
      <w:r w:rsidR="00892274">
        <w:t xml:space="preserve"> (see Section E)</w:t>
      </w:r>
      <w:r>
        <w:t xml:space="preserve">, and thus compliance with </w:t>
      </w:r>
      <w:r w:rsidR="00FB65A9">
        <w:t xml:space="preserve">BMPs </w:t>
      </w:r>
      <w:r>
        <w:t>is not included in accounting of ERTs.</w:t>
      </w:r>
    </w:p>
    <w:p w14:paraId="0136E904" w14:textId="77777777" w:rsidR="004223A0" w:rsidRPr="0066442E" w:rsidRDefault="004223A0" w:rsidP="00A00750"/>
    <w:p w14:paraId="3295FFB8" w14:textId="77777777" w:rsidR="002B2013" w:rsidRPr="00AA7500" w:rsidRDefault="002B2013" w:rsidP="000E23B0">
      <w:pPr>
        <w:pStyle w:val="Heading2"/>
      </w:pPr>
      <w:bookmarkStart w:id="23" w:name="_Toc2243500"/>
      <w:r w:rsidRPr="00AA7500">
        <w:t xml:space="preserve">C2. </w:t>
      </w:r>
      <w:r w:rsidR="00A00750">
        <w:t>COMMON PRACTICE TEST</w:t>
      </w:r>
      <w:bookmarkEnd w:id="23"/>
    </w:p>
    <w:p w14:paraId="3F7FF157" w14:textId="6C397C44" w:rsidR="005B32C7" w:rsidRDefault="005B32C7" w:rsidP="00A00750">
      <w:r w:rsidRPr="0047587E">
        <w:t xml:space="preserve">At the time of the project start date, ca. </w:t>
      </w:r>
      <w:r w:rsidR="001A48A5">
        <w:t>2019</w:t>
      </w:r>
      <w:r w:rsidRPr="0047587E">
        <w:t>, most forest managers in the project region were motivated to harvest as much timber as possible with little investment and eventually to sell the land, and few were committed to long-term forest management</w:t>
      </w:r>
      <w:r w:rsidR="00054359" w:rsidRPr="0047587E">
        <w:t xml:space="preserve"> or conservation</w:t>
      </w:r>
      <w:r w:rsidRPr="0047587E">
        <w:t xml:space="preserve">. </w:t>
      </w:r>
      <w:r w:rsidR="007F167E" w:rsidRPr="0047587E">
        <w:t xml:space="preserve">In particular, </w:t>
      </w:r>
      <w:r w:rsidR="001A48A5">
        <w:t>UT</w:t>
      </w:r>
      <w:r w:rsidR="00054359" w:rsidRPr="0047587E">
        <w:t xml:space="preserve">’s focus </w:t>
      </w:r>
      <w:r w:rsidR="0037683B">
        <w:t xml:space="preserve">through participation in this carbon project </w:t>
      </w:r>
      <w:r w:rsidR="00054359" w:rsidRPr="0047587E">
        <w:t xml:space="preserve">on </w:t>
      </w:r>
      <w:r w:rsidR="001A48A5">
        <w:t xml:space="preserve">improved forest management and research forestry </w:t>
      </w:r>
      <w:r w:rsidR="007F167E" w:rsidRPr="0047587E">
        <w:t xml:space="preserve">contrasts starkly with the </w:t>
      </w:r>
      <w:r w:rsidR="00054359" w:rsidRPr="0047587E">
        <w:t xml:space="preserve">more aggressive, predominately </w:t>
      </w:r>
      <w:r w:rsidR="007F167E" w:rsidRPr="0047587E">
        <w:t xml:space="preserve">even-aged management regimes practiced by other forest ownerships in </w:t>
      </w:r>
      <w:r w:rsidR="00054359" w:rsidRPr="0047587E">
        <w:t>the region.</w:t>
      </w:r>
    </w:p>
    <w:p w14:paraId="21915E47" w14:textId="77777777" w:rsidR="007D7557" w:rsidRPr="007D7557" w:rsidRDefault="007D7557" w:rsidP="007D7557">
      <w:r w:rsidRPr="007D7557">
        <w:t xml:space="preserve">UT is a unique landowner in the region, and so identification of similar landowners to establish common practice is problematic. Other state of TN agencies own and manage land (e.g. TN Division of Forestry, TN Wildlife Resources Agency), but operate with different objectives. </w:t>
      </w:r>
    </w:p>
    <w:p w14:paraId="3CBEE6CD" w14:textId="66684EDF" w:rsidR="007D7557" w:rsidRPr="007D7557" w:rsidRDefault="007D7557" w:rsidP="007D7557">
      <w:r w:rsidRPr="007D7557">
        <w:t>We identified public university forests in the southeastern and south central United States, representing similar landowners, and evaluated the extent of adoption of forest certification. Forest certification under FSC is a central component to the UT project activity.</w:t>
      </w:r>
    </w:p>
    <w:p w14:paraId="2F269945" w14:textId="75B1C1CD" w:rsidR="007D7557" w:rsidRPr="007D7557" w:rsidRDefault="007D7557" w:rsidP="007D7557">
      <w:r w:rsidRPr="007D7557">
        <w:t>As of 2021, among 18 public university forests identified, only 6 (33%) were certified under either FSC, SFI or ATFS, and only 3 (17%) were certified under FSC, arguably the most restrictive certification scheme. Certification cannot be considered common practice among this class of landowners, and thus the UT project activity goes beyond common practice.</w:t>
      </w:r>
    </w:p>
    <w:p w14:paraId="0A2575D4" w14:textId="5A62A228" w:rsidR="007D7557" w:rsidRPr="007D7557" w:rsidRDefault="007D7557" w:rsidP="007D7557">
      <w:r w:rsidRPr="007D7557">
        <w:t>Although harder to evaluate, other elements of the UT project activity, including implementation of specific climate smart forestry practices, including shortleaf pine and oak restoration, and management of intact corridors, are unlikely to represent common practice among public university forests in the region.</w:t>
      </w:r>
    </w:p>
    <w:p w14:paraId="6AB9FA99" w14:textId="62872C93" w:rsidR="00F82DD3" w:rsidRPr="00377B43" w:rsidRDefault="000D2609" w:rsidP="000D2609">
      <w:pPr>
        <w:rPr>
          <w:rFonts w:cstheme="minorHAnsi"/>
        </w:rPr>
      </w:pPr>
      <w:r w:rsidRPr="00377B43">
        <w:rPr>
          <w:rFonts w:cstheme="minorHAnsi"/>
        </w:rPr>
        <w:t xml:space="preserve">Common practice is </w:t>
      </w:r>
      <w:r w:rsidR="00B107DE">
        <w:rPr>
          <w:rFonts w:cstheme="minorHAnsi"/>
        </w:rPr>
        <w:t xml:space="preserve">also </w:t>
      </w:r>
      <w:r w:rsidRPr="00377B43">
        <w:rPr>
          <w:rFonts w:cstheme="minorHAnsi"/>
        </w:rPr>
        <w:t xml:space="preserve">reflected in average stocks in the project region, which have been assessed </w:t>
      </w:r>
      <w:r w:rsidR="00F82DD3" w:rsidRPr="00377B43">
        <w:rPr>
          <w:rFonts w:cstheme="minorHAnsi"/>
        </w:rPr>
        <w:t>by the California Air Resources Board (ARB) from US Forest Service Forest Inventory and Analysis (FIA) data</w:t>
      </w:r>
      <w:r w:rsidR="0091270B" w:rsidRPr="00377B43">
        <w:rPr>
          <w:rStyle w:val="FootnoteReference"/>
          <w:rFonts w:cstheme="minorHAnsi"/>
        </w:rPr>
        <w:footnoteReference w:id="6"/>
      </w:r>
      <w:r w:rsidR="00F82DD3" w:rsidRPr="00377B43">
        <w:rPr>
          <w:rFonts w:cstheme="minorHAnsi"/>
        </w:rPr>
        <w:t xml:space="preserve">. These values of average </w:t>
      </w:r>
      <w:r w:rsidR="00A3437C" w:rsidRPr="00377B43">
        <w:rPr>
          <w:rFonts w:cstheme="minorHAnsi"/>
        </w:rPr>
        <w:t xml:space="preserve">live </w:t>
      </w:r>
      <w:r w:rsidR="00F82DD3" w:rsidRPr="00377B43">
        <w:rPr>
          <w:rFonts w:cstheme="minorHAnsi"/>
        </w:rPr>
        <w:t xml:space="preserve">carbon stocking, at the regional level and by forest type, reflect </w:t>
      </w:r>
      <w:r w:rsidRPr="00377B43">
        <w:rPr>
          <w:rFonts w:cstheme="minorHAnsi"/>
        </w:rPr>
        <w:t xml:space="preserve">the outcomes of </w:t>
      </w:r>
      <w:r w:rsidR="00F82DD3" w:rsidRPr="00377B43">
        <w:rPr>
          <w:rFonts w:cstheme="minorHAnsi"/>
        </w:rPr>
        <w:t xml:space="preserve">management </w:t>
      </w:r>
      <w:r w:rsidRPr="00377B43">
        <w:rPr>
          <w:rFonts w:cstheme="minorHAnsi"/>
        </w:rPr>
        <w:t>regimes in practice across the landscape</w:t>
      </w:r>
      <w:r w:rsidR="00F82DD3" w:rsidRPr="00377B43">
        <w:rPr>
          <w:rFonts w:cstheme="minorHAnsi"/>
        </w:rPr>
        <w:t>.</w:t>
      </w:r>
    </w:p>
    <w:p w14:paraId="6B7F0CDF" w14:textId="316AAD30" w:rsidR="00BB19E4" w:rsidRPr="0047587E" w:rsidRDefault="00F82DD3" w:rsidP="00F82DD3">
      <w:pPr>
        <w:rPr>
          <w:rFonts w:cstheme="minorHAnsi"/>
        </w:rPr>
      </w:pPr>
      <w:r w:rsidRPr="004F3BAA">
        <w:rPr>
          <w:rFonts w:cstheme="minorHAnsi"/>
        </w:rPr>
        <w:t>Weighted average common practice stocking per ARB</w:t>
      </w:r>
      <w:r w:rsidR="000D2609" w:rsidRPr="004F3BAA">
        <w:rPr>
          <w:rFonts w:cstheme="minorHAnsi"/>
        </w:rPr>
        <w:t xml:space="preserve"> of </w:t>
      </w:r>
      <w:r w:rsidR="00894CBB">
        <w:rPr>
          <w:rFonts w:cstheme="minorHAnsi"/>
        </w:rPr>
        <w:t>137</w:t>
      </w:r>
      <w:r w:rsidRPr="006870FB">
        <w:rPr>
          <w:rFonts w:cstheme="minorHAnsi"/>
        </w:rPr>
        <w:t xml:space="preserve"> t CO2</w:t>
      </w:r>
      <w:r w:rsidRPr="0047587E">
        <w:rPr>
          <w:rFonts w:cstheme="minorHAnsi"/>
        </w:rPr>
        <w:t>/acre in live above and belowground biomass</w:t>
      </w:r>
      <w:r w:rsidR="00C61182" w:rsidRPr="0047587E">
        <w:rPr>
          <w:rFonts w:cstheme="minorHAnsi"/>
        </w:rPr>
        <w:t xml:space="preserve"> equivalent</w:t>
      </w:r>
      <w:r w:rsidR="00C34D7F">
        <w:rPr>
          <w:rFonts w:cstheme="minorHAnsi"/>
        </w:rPr>
        <w:t>, conservatively referencing high site class values</w:t>
      </w:r>
      <w:r w:rsidR="000D2609" w:rsidRPr="0047587E">
        <w:rPr>
          <w:rFonts w:cstheme="minorHAnsi"/>
        </w:rPr>
        <w:t xml:space="preserve"> </w:t>
      </w:r>
      <w:r w:rsidR="00190B49" w:rsidRPr="0047587E">
        <w:rPr>
          <w:rFonts w:cstheme="minorHAnsi"/>
        </w:rPr>
        <w:t>(Table C1</w:t>
      </w:r>
      <w:r w:rsidR="007B593A">
        <w:rPr>
          <w:rFonts w:cstheme="minorHAnsi"/>
        </w:rPr>
        <w:t>, calculations in “</w:t>
      </w:r>
      <w:r w:rsidR="001A48A5">
        <w:rPr>
          <w:rFonts w:cstheme="minorHAnsi"/>
        </w:rPr>
        <w:t>UTCommonPracticeCalcs</w:t>
      </w:r>
      <w:r w:rsidR="00965A84">
        <w:rPr>
          <w:rFonts w:cstheme="minorHAnsi"/>
        </w:rPr>
        <w:t>*</w:t>
      </w:r>
      <w:r w:rsidR="007B593A">
        <w:rPr>
          <w:rFonts w:cstheme="minorHAnsi"/>
        </w:rPr>
        <w:t>.xls”</w:t>
      </w:r>
      <w:r w:rsidR="00190B49" w:rsidRPr="0047587E">
        <w:rPr>
          <w:rFonts w:cstheme="minorHAnsi"/>
        </w:rPr>
        <w:t>)</w:t>
      </w:r>
      <w:r w:rsidR="00C34D7F">
        <w:rPr>
          <w:rFonts w:cstheme="minorHAnsi"/>
        </w:rPr>
        <w:t>,</w:t>
      </w:r>
      <w:r w:rsidR="00190B49" w:rsidRPr="0047587E">
        <w:rPr>
          <w:rFonts w:cstheme="minorHAnsi"/>
        </w:rPr>
        <w:t xml:space="preserve"> </w:t>
      </w:r>
      <w:r w:rsidR="000D2609" w:rsidRPr="0047587E">
        <w:rPr>
          <w:rFonts w:cstheme="minorHAnsi"/>
        </w:rPr>
        <w:t xml:space="preserve">is well below </w:t>
      </w:r>
      <w:r w:rsidR="00B25F06" w:rsidRPr="0047587E">
        <w:rPr>
          <w:rFonts w:cstheme="minorHAnsi"/>
        </w:rPr>
        <w:t xml:space="preserve">the </w:t>
      </w:r>
      <w:r w:rsidR="00ED060B" w:rsidRPr="0047587E">
        <w:rPr>
          <w:rFonts w:cstheme="minorHAnsi"/>
        </w:rPr>
        <w:t xml:space="preserve">projected </w:t>
      </w:r>
      <w:r w:rsidR="00B25F06" w:rsidRPr="0047587E">
        <w:rPr>
          <w:rFonts w:cstheme="minorHAnsi"/>
        </w:rPr>
        <w:t>stocking outcome</w:t>
      </w:r>
      <w:r w:rsidRPr="0047587E">
        <w:rPr>
          <w:rFonts w:cstheme="minorHAnsi"/>
        </w:rPr>
        <w:t xml:space="preserve"> </w:t>
      </w:r>
      <w:r w:rsidR="000D2609" w:rsidRPr="0047587E">
        <w:rPr>
          <w:rFonts w:cstheme="minorHAnsi"/>
        </w:rPr>
        <w:t>in the with-project scenario</w:t>
      </w:r>
      <w:r w:rsidR="00ED060B" w:rsidRPr="0047587E">
        <w:rPr>
          <w:rFonts w:cstheme="minorHAnsi"/>
        </w:rPr>
        <w:t xml:space="preserve">, expected to </w:t>
      </w:r>
      <w:r w:rsidR="00835B2E" w:rsidRPr="000E48B8">
        <w:rPr>
          <w:rFonts w:cstheme="minorHAnsi"/>
        </w:rPr>
        <w:t xml:space="preserve">average </w:t>
      </w:r>
      <w:r w:rsidR="000E48B8" w:rsidRPr="000E48B8">
        <w:rPr>
          <w:rFonts w:cstheme="minorHAnsi"/>
        </w:rPr>
        <w:t>~190</w:t>
      </w:r>
      <w:r w:rsidR="00835B2E">
        <w:rPr>
          <w:rFonts w:cstheme="minorHAnsi"/>
        </w:rPr>
        <w:t xml:space="preserve"> </w:t>
      </w:r>
      <w:r w:rsidR="00ED060B" w:rsidRPr="0047587E">
        <w:rPr>
          <w:rFonts w:cstheme="minorHAnsi"/>
        </w:rPr>
        <w:t>t CO2/acre</w:t>
      </w:r>
      <w:r w:rsidR="000D2609" w:rsidRPr="0047587E">
        <w:rPr>
          <w:rFonts w:cstheme="minorHAnsi"/>
        </w:rPr>
        <w:t xml:space="preserve"> </w:t>
      </w:r>
      <w:r w:rsidR="003E097C">
        <w:rPr>
          <w:rFonts w:cstheme="minorHAnsi"/>
        </w:rPr>
        <w:t xml:space="preserve">over </w:t>
      </w:r>
      <w:r w:rsidR="00ED060B" w:rsidRPr="0047587E">
        <w:rPr>
          <w:rFonts w:cstheme="minorHAnsi"/>
        </w:rPr>
        <w:t>the first 20-year</w:t>
      </w:r>
      <w:r w:rsidR="00C61182" w:rsidRPr="0047587E">
        <w:rPr>
          <w:rFonts w:cstheme="minorHAnsi"/>
        </w:rPr>
        <w:t>s of the project term</w:t>
      </w:r>
      <w:r w:rsidR="000E48B8">
        <w:rPr>
          <w:rFonts w:cstheme="minorHAnsi"/>
        </w:rPr>
        <w:t xml:space="preserve"> under a sustained yield management regime</w:t>
      </w:r>
      <w:r w:rsidR="001B059F" w:rsidRPr="0047587E">
        <w:rPr>
          <w:rFonts w:cstheme="minorHAnsi"/>
        </w:rPr>
        <w:t xml:space="preserve"> (Section E6)</w:t>
      </w:r>
      <w:r w:rsidR="00ED060B" w:rsidRPr="0047587E">
        <w:rPr>
          <w:rFonts w:cstheme="minorHAnsi"/>
        </w:rPr>
        <w:t>.</w:t>
      </w:r>
      <w:r w:rsidR="00680492" w:rsidRPr="0047587E">
        <w:rPr>
          <w:rFonts w:cstheme="minorHAnsi"/>
        </w:rPr>
        <w:t xml:space="preserve"> Thus, management in the with-project case</w:t>
      </w:r>
      <w:r w:rsidR="00137D2C" w:rsidRPr="0047587E">
        <w:rPr>
          <w:rFonts w:cstheme="minorHAnsi"/>
        </w:rPr>
        <w:t xml:space="preserve"> </w:t>
      </w:r>
      <w:r w:rsidR="00C61182" w:rsidRPr="0047587E">
        <w:rPr>
          <w:rFonts w:cstheme="minorHAnsi"/>
        </w:rPr>
        <w:t>can be characterized as producing outcomes not achieved by typical common practice.</w:t>
      </w:r>
    </w:p>
    <w:p w14:paraId="7BAD1900" w14:textId="5DBA1E1E" w:rsidR="00F82DD3" w:rsidRPr="00907808" w:rsidRDefault="00F82DD3" w:rsidP="007F7A42">
      <w:pPr>
        <w:rPr>
          <w:rFonts w:cstheme="minorHAnsi"/>
          <w:b/>
        </w:rPr>
      </w:pPr>
      <w:r w:rsidRPr="00907808">
        <w:rPr>
          <w:rFonts w:cstheme="minorHAnsi"/>
          <w:b/>
        </w:rPr>
        <w:t xml:space="preserve">Table </w:t>
      </w:r>
      <w:r w:rsidR="000D2609" w:rsidRPr="00907808">
        <w:rPr>
          <w:rFonts w:cstheme="minorHAnsi"/>
          <w:b/>
        </w:rPr>
        <w:t>C1</w:t>
      </w:r>
      <w:r w:rsidRPr="00907808">
        <w:rPr>
          <w:rFonts w:cstheme="minorHAnsi"/>
          <w:b/>
        </w:rPr>
        <w:t xml:space="preserve">. Comparison with </w:t>
      </w:r>
      <w:r w:rsidR="007E330C" w:rsidRPr="00907808">
        <w:rPr>
          <w:rFonts w:cstheme="minorHAnsi"/>
          <w:b/>
        </w:rPr>
        <w:t xml:space="preserve">(area-weighted average) </w:t>
      </w:r>
      <w:r w:rsidRPr="00907808">
        <w:rPr>
          <w:rFonts w:cstheme="minorHAnsi"/>
          <w:b/>
        </w:rPr>
        <w:t>2015 ARB common practice values for</w:t>
      </w:r>
      <w:r w:rsidR="007F7A42" w:rsidRPr="00907808">
        <w:rPr>
          <w:rFonts w:cstheme="minorHAnsi"/>
          <w:b/>
        </w:rPr>
        <w:t xml:space="preserve"> </w:t>
      </w:r>
      <w:r w:rsidR="00907808" w:rsidRPr="00907808">
        <w:rPr>
          <w:rFonts w:cstheme="minorHAnsi"/>
          <w:b/>
        </w:rPr>
        <w:t xml:space="preserve">the Allegheny &amp; North Cumberland Mountains and Eastern Broadleaf Forest Cumberland Plateau </w:t>
      </w:r>
      <w:r w:rsidR="00193F38" w:rsidRPr="00907808">
        <w:rPr>
          <w:rFonts w:cstheme="minorHAnsi"/>
          <w:b/>
        </w:rPr>
        <w:t>supersections</w:t>
      </w:r>
      <w:r w:rsidRPr="00907808">
        <w:rPr>
          <w:rFonts w:cstheme="minorHAnsi"/>
          <w:b/>
        </w:rPr>
        <w:t xml:space="preserve">. </w:t>
      </w:r>
    </w:p>
    <w:tbl>
      <w:tblPr>
        <w:tblW w:w="47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5"/>
        <w:gridCol w:w="824"/>
        <w:gridCol w:w="1894"/>
        <w:gridCol w:w="2068"/>
        <w:gridCol w:w="1257"/>
        <w:gridCol w:w="12"/>
        <w:gridCol w:w="1885"/>
      </w:tblGrid>
      <w:tr w:rsidR="00D23478" w:rsidRPr="00E00529" w14:paraId="78E6153C" w14:textId="77777777" w:rsidTr="003D564B">
        <w:trPr>
          <w:trHeight w:val="1162"/>
        </w:trPr>
        <w:tc>
          <w:tcPr>
            <w:tcW w:w="496" w:type="pct"/>
          </w:tcPr>
          <w:p w14:paraId="00B98664" w14:textId="77777777" w:rsidR="00E00529" w:rsidRPr="00E00529" w:rsidRDefault="00E00529">
            <w:pPr>
              <w:autoSpaceDE w:val="0"/>
              <w:autoSpaceDN w:val="0"/>
              <w:adjustRightInd w:val="0"/>
              <w:spacing w:after="0" w:line="240" w:lineRule="auto"/>
              <w:rPr>
                <w:rFonts w:cstheme="minorHAnsi"/>
                <w:b/>
                <w:bCs/>
                <w:color w:val="000000"/>
                <w:sz w:val="20"/>
                <w:szCs w:val="20"/>
              </w:rPr>
            </w:pPr>
            <w:r w:rsidRPr="00E00529">
              <w:rPr>
                <w:rFonts w:cstheme="minorHAnsi"/>
                <w:b/>
                <w:bCs/>
                <w:color w:val="000000"/>
                <w:sz w:val="20"/>
                <w:szCs w:val="20"/>
              </w:rPr>
              <w:t>stratum</w:t>
            </w:r>
          </w:p>
        </w:tc>
        <w:tc>
          <w:tcPr>
            <w:tcW w:w="467" w:type="pct"/>
          </w:tcPr>
          <w:p w14:paraId="68654AEB" w14:textId="2ED7283C" w:rsidR="00E00529" w:rsidRPr="00E00529" w:rsidRDefault="00E00529">
            <w:pPr>
              <w:autoSpaceDE w:val="0"/>
              <w:autoSpaceDN w:val="0"/>
              <w:adjustRightInd w:val="0"/>
              <w:spacing w:after="0" w:line="240" w:lineRule="auto"/>
              <w:rPr>
                <w:rFonts w:cstheme="minorHAnsi"/>
                <w:b/>
                <w:bCs/>
                <w:color w:val="000000"/>
                <w:sz w:val="20"/>
                <w:szCs w:val="20"/>
              </w:rPr>
            </w:pPr>
            <w:r w:rsidRPr="00E00529">
              <w:rPr>
                <w:rFonts w:cstheme="minorHAnsi"/>
                <w:b/>
                <w:bCs/>
                <w:color w:val="000000"/>
                <w:sz w:val="20"/>
                <w:szCs w:val="20"/>
              </w:rPr>
              <w:t>acres</w:t>
            </w:r>
          </w:p>
        </w:tc>
        <w:tc>
          <w:tcPr>
            <w:tcW w:w="1075" w:type="pct"/>
          </w:tcPr>
          <w:p w14:paraId="10F81A1A" w14:textId="77777777" w:rsidR="00E00529" w:rsidRPr="00E00529" w:rsidRDefault="00E00529">
            <w:pPr>
              <w:autoSpaceDE w:val="0"/>
              <w:autoSpaceDN w:val="0"/>
              <w:adjustRightInd w:val="0"/>
              <w:spacing w:after="0" w:line="240" w:lineRule="auto"/>
              <w:rPr>
                <w:rFonts w:cstheme="minorHAnsi"/>
                <w:b/>
                <w:bCs/>
                <w:color w:val="000000"/>
                <w:sz w:val="20"/>
                <w:szCs w:val="20"/>
              </w:rPr>
            </w:pPr>
            <w:r w:rsidRPr="00E00529">
              <w:rPr>
                <w:rFonts w:cstheme="minorHAnsi"/>
                <w:b/>
                <w:bCs/>
                <w:color w:val="000000"/>
                <w:sz w:val="20"/>
                <w:szCs w:val="20"/>
              </w:rPr>
              <w:t>Species in order of relative basal area</w:t>
            </w:r>
          </w:p>
        </w:tc>
        <w:tc>
          <w:tcPr>
            <w:tcW w:w="1173" w:type="pct"/>
          </w:tcPr>
          <w:p w14:paraId="190E18A3" w14:textId="0534956F" w:rsidR="00E00529" w:rsidRPr="00E00529" w:rsidRDefault="00D23478">
            <w:pPr>
              <w:autoSpaceDE w:val="0"/>
              <w:autoSpaceDN w:val="0"/>
              <w:adjustRightInd w:val="0"/>
              <w:spacing w:after="0" w:line="240" w:lineRule="auto"/>
              <w:rPr>
                <w:rFonts w:cstheme="minorHAnsi"/>
                <w:b/>
                <w:bCs/>
                <w:color w:val="000000"/>
                <w:sz w:val="20"/>
                <w:szCs w:val="20"/>
              </w:rPr>
            </w:pPr>
            <w:r>
              <w:rPr>
                <w:rFonts w:cstheme="minorHAnsi"/>
                <w:b/>
                <w:bCs/>
                <w:color w:val="000000"/>
                <w:sz w:val="20"/>
                <w:szCs w:val="20"/>
              </w:rPr>
              <w:t xml:space="preserve">ARB </w:t>
            </w:r>
            <w:r w:rsidR="00E00529" w:rsidRPr="00E00529">
              <w:rPr>
                <w:rFonts w:cstheme="minorHAnsi"/>
                <w:b/>
                <w:bCs/>
                <w:color w:val="000000"/>
                <w:sz w:val="20"/>
                <w:szCs w:val="20"/>
              </w:rPr>
              <w:t>supersection</w:t>
            </w:r>
          </w:p>
        </w:tc>
        <w:tc>
          <w:tcPr>
            <w:tcW w:w="713" w:type="pct"/>
          </w:tcPr>
          <w:p w14:paraId="4CD3D9BD" w14:textId="27289240" w:rsidR="00E00529" w:rsidRPr="00E00529" w:rsidRDefault="00D23478">
            <w:pPr>
              <w:autoSpaceDE w:val="0"/>
              <w:autoSpaceDN w:val="0"/>
              <w:adjustRightInd w:val="0"/>
              <w:spacing w:after="0" w:line="240" w:lineRule="auto"/>
              <w:rPr>
                <w:rFonts w:cstheme="minorHAnsi"/>
                <w:b/>
                <w:bCs/>
                <w:color w:val="000000"/>
                <w:sz w:val="20"/>
                <w:szCs w:val="20"/>
              </w:rPr>
            </w:pPr>
            <w:r>
              <w:rPr>
                <w:rFonts w:cstheme="minorHAnsi"/>
                <w:b/>
                <w:bCs/>
                <w:color w:val="000000"/>
                <w:sz w:val="20"/>
                <w:szCs w:val="20"/>
              </w:rPr>
              <w:t xml:space="preserve">ARB </w:t>
            </w:r>
            <w:r w:rsidR="00E00529" w:rsidRPr="00E00529">
              <w:rPr>
                <w:rFonts w:cstheme="minorHAnsi"/>
                <w:b/>
                <w:bCs/>
                <w:color w:val="000000"/>
                <w:sz w:val="20"/>
                <w:szCs w:val="20"/>
              </w:rPr>
              <w:t>assessment area</w:t>
            </w:r>
          </w:p>
        </w:tc>
        <w:tc>
          <w:tcPr>
            <w:tcW w:w="1075" w:type="pct"/>
            <w:gridSpan w:val="2"/>
          </w:tcPr>
          <w:p w14:paraId="5621003C" w14:textId="77777777" w:rsidR="00430884" w:rsidRDefault="00D23478">
            <w:pPr>
              <w:autoSpaceDE w:val="0"/>
              <w:autoSpaceDN w:val="0"/>
              <w:adjustRightInd w:val="0"/>
              <w:spacing w:after="0" w:line="240" w:lineRule="auto"/>
              <w:rPr>
                <w:rFonts w:ascii="Calibri" w:hAnsi="Calibri" w:cs="Calibri"/>
                <w:b/>
                <w:bCs/>
                <w:color w:val="000000"/>
              </w:rPr>
            </w:pPr>
            <w:r w:rsidRPr="00D23478">
              <w:rPr>
                <w:rFonts w:ascii="Calibri" w:hAnsi="Calibri" w:cs="Calibri"/>
                <w:b/>
                <w:bCs/>
                <w:color w:val="000000"/>
              </w:rPr>
              <w:t xml:space="preserve">Equivalent* ARB common practice avg ABGB t CO2/ac </w:t>
            </w:r>
          </w:p>
          <w:p w14:paraId="380D2751" w14:textId="5EF68493" w:rsidR="00E00529" w:rsidRPr="00E00529" w:rsidRDefault="00430884">
            <w:pPr>
              <w:autoSpaceDE w:val="0"/>
              <w:autoSpaceDN w:val="0"/>
              <w:adjustRightInd w:val="0"/>
              <w:spacing w:after="0" w:line="240" w:lineRule="auto"/>
              <w:rPr>
                <w:rFonts w:cstheme="minorHAnsi"/>
                <w:b/>
                <w:bCs/>
                <w:color w:val="000000"/>
                <w:sz w:val="20"/>
                <w:szCs w:val="20"/>
              </w:rPr>
            </w:pPr>
            <w:r>
              <w:rPr>
                <w:rFonts w:ascii="Calibri" w:hAnsi="Calibri" w:cs="Calibri"/>
                <w:b/>
                <w:bCs/>
                <w:color w:val="000000"/>
              </w:rPr>
              <w:t>(</w:t>
            </w:r>
            <w:r w:rsidR="00D23478" w:rsidRPr="00D23478">
              <w:rPr>
                <w:rFonts w:ascii="Calibri" w:hAnsi="Calibri" w:cs="Calibri"/>
                <w:b/>
                <w:bCs/>
                <w:color w:val="000000"/>
              </w:rPr>
              <w:t>high site class</w:t>
            </w:r>
            <w:r>
              <w:rPr>
                <w:rFonts w:ascii="Calibri" w:hAnsi="Calibri" w:cs="Calibri"/>
                <w:b/>
                <w:bCs/>
                <w:color w:val="000000"/>
              </w:rPr>
              <w:t>)</w:t>
            </w:r>
          </w:p>
        </w:tc>
      </w:tr>
      <w:tr w:rsidR="00D23478" w:rsidRPr="00E00529" w14:paraId="2CF69EBB" w14:textId="77777777" w:rsidTr="003D564B">
        <w:trPr>
          <w:trHeight w:val="458"/>
        </w:trPr>
        <w:tc>
          <w:tcPr>
            <w:tcW w:w="496" w:type="pct"/>
          </w:tcPr>
          <w:p w14:paraId="2DC99F9A" w14:textId="77777777" w:rsidR="00E00529" w:rsidRPr="00E00529" w:rsidRDefault="00E00529">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CN</w:t>
            </w:r>
          </w:p>
        </w:tc>
        <w:tc>
          <w:tcPr>
            <w:tcW w:w="467" w:type="pct"/>
          </w:tcPr>
          <w:p w14:paraId="2AFC93B7" w14:textId="6649B6CA" w:rsidR="00E00529" w:rsidRPr="00E00529" w:rsidRDefault="00E00529">
            <w:pPr>
              <w:autoSpaceDE w:val="0"/>
              <w:autoSpaceDN w:val="0"/>
              <w:adjustRightInd w:val="0"/>
              <w:spacing w:after="0" w:line="240" w:lineRule="auto"/>
              <w:jc w:val="right"/>
              <w:rPr>
                <w:rFonts w:cstheme="minorHAnsi"/>
                <w:color w:val="000000"/>
                <w:sz w:val="20"/>
                <w:szCs w:val="20"/>
              </w:rPr>
            </w:pPr>
            <w:r w:rsidRPr="00E00529">
              <w:rPr>
                <w:rFonts w:cstheme="minorHAnsi"/>
                <w:color w:val="000000"/>
                <w:sz w:val="20"/>
                <w:szCs w:val="20"/>
              </w:rPr>
              <w:t xml:space="preserve">      4,3</w:t>
            </w:r>
            <w:r w:rsidR="00965A84">
              <w:rPr>
                <w:rFonts w:cstheme="minorHAnsi"/>
                <w:color w:val="000000"/>
                <w:sz w:val="20"/>
                <w:szCs w:val="20"/>
              </w:rPr>
              <w:t>6</w:t>
            </w:r>
            <w:r w:rsidR="001E48DB">
              <w:rPr>
                <w:rFonts w:cstheme="minorHAnsi"/>
                <w:color w:val="000000"/>
                <w:sz w:val="20"/>
                <w:szCs w:val="20"/>
              </w:rPr>
              <w:t>3.0</w:t>
            </w:r>
            <w:r w:rsidRPr="00E00529">
              <w:rPr>
                <w:rFonts w:cstheme="minorHAnsi"/>
                <w:color w:val="000000"/>
                <w:sz w:val="20"/>
                <w:szCs w:val="20"/>
              </w:rPr>
              <w:t xml:space="preserve"> </w:t>
            </w:r>
          </w:p>
        </w:tc>
        <w:tc>
          <w:tcPr>
            <w:tcW w:w="1075" w:type="pct"/>
          </w:tcPr>
          <w:p w14:paraId="36BB92DF" w14:textId="77777777" w:rsidR="00E00529" w:rsidRPr="00E00529" w:rsidRDefault="00E00529">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Chestnut oak, tulip poplar, red maple </w:t>
            </w:r>
          </w:p>
        </w:tc>
        <w:tc>
          <w:tcPr>
            <w:tcW w:w="1173" w:type="pct"/>
          </w:tcPr>
          <w:p w14:paraId="54FE421D" w14:textId="77777777" w:rsidR="00E00529" w:rsidRPr="00E00529" w:rsidRDefault="00E00529">
            <w:pPr>
              <w:autoSpaceDE w:val="0"/>
              <w:autoSpaceDN w:val="0"/>
              <w:adjustRightInd w:val="0"/>
              <w:spacing w:after="0" w:line="240" w:lineRule="auto"/>
              <w:jc w:val="right"/>
              <w:rPr>
                <w:rFonts w:cstheme="minorHAnsi"/>
                <w:color w:val="333333"/>
                <w:sz w:val="20"/>
                <w:szCs w:val="20"/>
              </w:rPr>
            </w:pPr>
            <w:r w:rsidRPr="00E00529">
              <w:rPr>
                <w:rFonts w:cstheme="minorHAnsi"/>
                <w:color w:val="333333"/>
                <w:sz w:val="20"/>
                <w:szCs w:val="20"/>
              </w:rPr>
              <w:t>Allegheny &amp; North Cumberland Mountains</w:t>
            </w:r>
          </w:p>
        </w:tc>
        <w:tc>
          <w:tcPr>
            <w:tcW w:w="713" w:type="pct"/>
          </w:tcPr>
          <w:p w14:paraId="393B28DA" w14:textId="77777777" w:rsidR="00E00529" w:rsidRPr="00E00529" w:rsidRDefault="00E00529">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oak-hickory</w:t>
            </w:r>
          </w:p>
        </w:tc>
        <w:tc>
          <w:tcPr>
            <w:tcW w:w="1075" w:type="pct"/>
            <w:gridSpan w:val="2"/>
          </w:tcPr>
          <w:p w14:paraId="31BFD364" w14:textId="77777777" w:rsidR="00E00529" w:rsidRPr="00E00529" w:rsidRDefault="00E00529">
            <w:pPr>
              <w:autoSpaceDE w:val="0"/>
              <w:autoSpaceDN w:val="0"/>
              <w:adjustRightInd w:val="0"/>
              <w:spacing w:after="0" w:line="240" w:lineRule="auto"/>
              <w:jc w:val="right"/>
              <w:rPr>
                <w:rFonts w:cstheme="minorHAnsi"/>
                <w:color w:val="000000"/>
                <w:sz w:val="20"/>
                <w:szCs w:val="20"/>
              </w:rPr>
            </w:pPr>
            <w:r w:rsidRPr="00E00529">
              <w:rPr>
                <w:rFonts w:cstheme="minorHAnsi"/>
                <w:color w:val="000000"/>
                <w:sz w:val="20"/>
                <w:szCs w:val="20"/>
              </w:rPr>
              <w:t>143.16</w:t>
            </w:r>
          </w:p>
        </w:tc>
      </w:tr>
      <w:tr w:rsidR="00D23478" w:rsidRPr="00E00529" w14:paraId="3F262A48" w14:textId="77777777" w:rsidTr="003D564B">
        <w:trPr>
          <w:trHeight w:val="458"/>
        </w:trPr>
        <w:tc>
          <w:tcPr>
            <w:tcW w:w="496" w:type="pct"/>
          </w:tcPr>
          <w:p w14:paraId="0C344148" w14:textId="77777777" w:rsidR="00E00529" w:rsidRPr="00E00529" w:rsidRDefault="00E00529">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CS</w:t>
            </w:r>
          </w:p>
        </w:tc>
        <w:tc>
          <w:tcPr>
            <w:tcW w:w="467" w:type="pct"/>
          </w:tcPr>
          <w:p w14:paraId="4BB9165C" w14:textId="77777777" w:rsidR="00E00529" w:rsidRPr="00E00529" w:rsidRDefault="00E00529">
            <w:pPr>
              <w:autoSpaceDE w:val="0"/>
              <w:autoSpaceDN w:val="0"/>
              <w:adjustRightInd w:val="0"/>
              <w:spacing w:after="0" w:line="240" w:lineRule="auto"/>
              <w:jc w:val="right"/>
              <w:rPr>
                <w:rFonts w:cstheme="minorHAnsi"/>
                <w:color w:val="000000"/>
                <w:sz w:val="20"/>
                <w:szCs w:val="20"/>
              </w:rPr>
            </w:pPr>
            <w:r w:rsidRPr="00E00529">
              <w:rPr>
                <w:rFonts w:cstheme="minorHAnsi"/>
                <w:color w:val="000000"/>
                <w:sz w:val="20"/>
                <w:szCs w:val="20"/>
              </w:rPr>
              <w:t xml:space="preserve">      3,994.3 </w:t>
            </w:r>
          </w:p>
        </w:tc>
        <w:tc>
          <w:tcPr>
            <w:tcW w:w="1075" w:type="pct"/>
          </w:tcPr>
          <w:p w14:paraId="169BB1E6" w14:textId="77777777" w:rsidR="00E00529" w:rsidRPr="00E00529" w:rsidRDefault="00E00529">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Chestnut oak, red maple, tulip poplar</w:t>
            </w:r>
          </w:p>
        </w:tc>
        <w:tc>
          <w:tcPr>
            <w:tcW w:w="1173" w:type="pct"/>
          </w:tcPr>
          <w:p w14:paraId="6E047C4D" w14:textId="77777777" w:rsidR="00E00529" w:rsidRPr="00E00529" w:rsidRDefault="00E00529">
            <w:pPr>
              <w:autoSpaceDE w:val="0"/>
              <w:autoSpaceDN w:val="0"/>
              <w:adjustRightInd w:val="0"/>
              <w:spacing w:after="0" w:line="240" w:lineRule="auto"/>
              <w:jc w:val="right"/>
              <w:rPr>
                <w:rFonts w:cstheme="minorHAnsi"/>
                <w:color w:val="333333"/>
                <w:sz w:val="20"/>
                <w:szCs w:val="20"/>
              </w:rPr>
            </w:pPr>
            <w:r w:rsidRPr="00E00529">
              <w:rPr>
                <w:rFonts w:cstheme="minorHAnsi"/>
                <w:color w:val="333333"/>
                <w:sz w:val="20"/>
                <w:szCs w:val="20"/>
              </w:rPr>
              <w:t>Allegheny &amp; North Cumberland Mountains</w:t>
            </w:r>
          </w:p>
        </w:tc>
        <w:tc>
          <w:tcPr>
            <w:tcW w:w="713" w:type="pct"/>
          </w:tcPr>
          <w:p w14:paraId="3D217535" w14:textId="77777777" w:rsidR="00E00529" w:rsidRPr="00E00529" w:rsidRDefault="00E00529">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oak-hickory</w:t>
            </w:r>
          </w:p>
        </w:tc>
        <w:tc>
          <w:tcPr>
            <w:tcW w:w="1075" w:type="pct"/>
            <w:gridSpan w:val="2"/>
          </w:tcPr>
          <w:p w14:paraId="04A28F30" w14:textId="77777777" w:rsidR="00E00529" w:rsidRPr="00E00529" w:rsidRDefault="00E00529">
            <w:pPr>
              <w:autoSpaceDE w:val="0"/>
              <w:autoSpaceDN w:val="0"/>
              <w:adjustRightInd w:val="0"/>
              <w:spacing w:after="0" w:line="240" w:lineRule="auto"/>
              <w:jc w:val="right"/>
              <w:rPr>
                <w:rFonts w:cstheme="minorHAnsi"/>
                <w:color w:val="000000"/>
                <w:sz w:val="20"/>
                <w:szCs w:val="20"/>
              </w:rPr>
            </w:pPr>
            <w:r w:rsidRPr="00E00529">
              <w:rPr>
                <w:rFonts w:cstheme="minorHAnsi"/>
                <w:color w:val="000000"/>
                <w:sz w:val="20"/>
                <w:szCs w:val="20"/>
              </w:rPr>
              <w:t>143.16</w:t>
            </w:r>
          </w:p>
        </w:tc>
      </w:tr>
      <w:tr w:rsidR="00D23478" w:rsidRPr="00E00529" w14:paraId="04481EBD" w14:textId="77777777" w:rsidTr="003D564B">
        <w:trPr>
          <w:trHeight w:val="458"/>
        </w:trPr>
        <w:tc>
          <w:tcPr>
            <w:tcW w:w="496" w:type="pct"/>
          </w:tcPr>
          <w:p w14:paraId="3630E133" w14:textId="77777777" w:rsidR="00E00529" w:rsidRPr="00E00529" w:rsidRDefault="00E00529">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OR</w:t>
            </w:r>
          </w:p>
        </w:tc>
        <w:tc>
          <w:tcPr>
            <w:tcW w:w="467" w:type="pct"/>
          </w:tcPr>
          <w:p w14:paraId="0C3C4197" w14:textId="77777777" w:rsidR="00E00529" w:rsidRPr="00E00529" w:rsidRDefault="00E00529">
            <w:pPr>
              <w:autoSpaceDE w:val="0"/>
              <w:autoSpaceDN w:val="0"/>
              <w:adjustRightInd w:val="0"/>
              <w:spacing w:after="0" w:line="240" w:lineRule="auto"/>
              <w:jc w:val="right"/>
              <w:rPr>
                <w:rFonts w:cstheme="minorHAnsi"/>
                <w:color w:val="000000"/>
                <w:sz w:val="20"/>
                <w:szCs w:val="20"/>
              </w:rPr>
            </w:pPr>
            <w:r w:rsidRPr="00E00529">
              <w:rPr>
                <w:rFonts w:cstheme="minorHAnsi"/>
                <w:color w:val="000000"/>
                <w:sz w:val="20"/>
                <w:szCs w:val="20"/>
              </w:rPr>
              <w:t xml:space="preserve">      2,145.5 </w:t>
            </w:r>
          </w:p>
        </w:tc>
        <w:tc>
          <w:tcPr>
            <w:tcW w:w="1075" w:type="pct"/>
          </w:tcPr>
          <w:p w14:paraId="7EACEC15" w14:textId="77777777" w:rsidR="00E00529" w:rsidRPr="00E00529" w:rsidRDefault="00E00529">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Chestnut oak, tulip poplar, white oak</w:t>
            </w:r>
          </w:p>
        </w:tc>
        <w:tc>
          <w:tcPr>
            <w:tcW w:w="1173" w:type="pct"/>
          </w:tcPr>
          <w:p w14:paraId="4AE9E49A" w14:textId="77777777" w:rsidR="00E00529" w:rsidRPr="00E00529" w:rsidRDefault="00E00529">
            <w:pPr>
              <w:autoSpaceDE w:val="0"/>
              <w:autoSpaceDN w:val="0"/>
              <w:adjustRightInd w:val="0"/>
              <w:spacing w:after="0" w:line="240" w:lineRule="auto"/>
              <w:jc w:val="right"/>
              <w:rPr>
                <w:rFonts w:cstheme="minorHAnsi"/>
                <w:color w:val="333333"/>
                <w:sz w:val="20"/>
                <w:szCs w:val="20"/>
              </w:rPr>
            </w:pPr>
            <w:r w:rsidRPr="00E00529">
              <w:rPr>
                <w:rFonts w:cstheme="minorHAnsi"/>
                <w:color w:val="333333"/>
                <w:sz w:val="20"/>
                <w:szCs w:val="20"/>
              </w:rPr>
              <w:t>Eastern Broadleaf Forest Cumberland Plateau</w:t>
            </w:r>
          </w:p>
        </w:tc>
        <w:tc>
          <w:tcPr>
            <w:tcW w:w="713" w:type="pct"/>
          </w:tcPr>
          <w:p w14:paraId="09F3D545" w14:textId="77777777" w:rsidR="00E00529" w:rsidRPr="00E00529" w:rsidRDefault="00E00529">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oak-hickory</w:t>
            </w:r>
          </w:p>
        </w:tc>
        <w:tc>
          <w:tcPr>
            <w:tcW w:w="1075" w:type="pct"/>
            <w:gridSpan w:val="2"/>
          </w:tcPr>
          <w:p w14:paraId="1DC3A444" w14:textId="77777777" w:rsidR="00E00529" w:rsidRPr="00E00529" w:rsidRDefault="00E00529">
            <w:pPr>
              <w:autoSpaceDE w:val="0"/>
              <w:autoSpaceDN w:val="0"/>
              <w:adjustRightInd w:val="0"/>
              <w:spacing w:after="0" w:line="240" w:lineRule="auto"/>
              <w:jc w:val="right"/>
              <w:rPr>
                <w:rFonts w:cstheme="minorHAnsi"/>
                <w:color w:val="000000"/>
                <w:sz w:val="20"/>
                <w:szCs w:val="20"/>
              </w:rPr>
            </w:pPr>
            <w:r w:rsidRPr="00E00529">
              <w:rPr>
                <w:rFonts w:cstheme="minorHAnsi"/>
                <w:color w:val="000000"/>
                <w:sz w:val="20"/>
                <w:szCs w:val="20"/>
              </w:rPr>
              <w:t>130.08</w:t>
            </w:r>
          </w:p>
        </w:tc>
      </w:tr>
      <w:tr w:rsidR="003D564B" w:rsidRPr="00E00529" w14:paraId="50C3373E" w14:textId="77777777" w:rsidTr="003D564B">
        <w:trPr>
          <w:trHeight w:val="458"/>
        </w:trPr>
        <w:tc>
          <w:tcPr>
            <w:tcW w:w="496" w:type="pct"/>
          </w:tcPr>
          <w:p w14:paraId="5DCFEBD6" w14:textId="77777777" w:rsidR="003D564B" w:rsidRPr="00E00529" w:rsidRDefault="003D564B" w:rsidP="003D564B">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HR_HW</w:t>
            </w:r>
          </w:p>
        </w:tc>
        <w:tc>
          <w:tcPr>
            <w:tcW w:w="467" w:type="pct"/>
            <w:vAlign w:val="bottom"/>
          </w:tcPr>
          <w:p w14:paraId="0C974CE8" w14:textId="515D52C5" w:rsidR="003D564B" w:rsidRPr="00E00529" w:rsidRDefault="003D564B" w:rsidP="003D564B">
            <w:pPr>
              <w:autoSpaceDE w:val="0"/>
              <w:autoSpaceDN w:val="0"/>
              <w:adjustRightInd w:val="0"/>
              <w:spacing w:after="0" w:line="240" w:lineRule="auto"/>
              <w:jc w:val="right"/>
              <w:rPr>
                <w:rFonts w:cstheme="minorHAnsi"/>
                <w:color w:val="000000"/>
                <w:sz w:val="20"/>
                <w:szCs w:val="20"/>
              </w:rPr>
            </w:pPr>
            <w:r>
              <w:rPr>
                <w:rFonts w:ascii="Calibri" w:hAnsi="Calibri" w:cs="Calibri"/>
                <w:color w:val="000000"/>
              </w:rPr>
              <w:t xml:space="preserve">         505.5 </w:t>
            </w:r>
          </w:p>
        </w:tc>
        <w:tc>
          <w:tcPr>
            <w:tcW w:w="1075" w:type="pct"/>
          </w:tcPr>
          <w:p w14:paraId="236E23CB" w14:textId="5906B7BA" w:rsidR="003D564B" w:rsidRPr="00E00529" w:rsidRDefault="003D564B" w:rsidP="003D564B">
            <w:pPr>
              <w:autoSpaceDE w:val="0"/>
              <w:autoSpaceDN w:val="0"/>
              <w:adjustRightInd w:val="0"/>
              <w:spacing w:after="0" w:line="240" w:lineRule="auto"/>
              <w:rPr>
                <w:rFonts w:cstheme="minorHAnsi"/>
                <w:color w:val="000000"/>
                <w:sz w:val="20"/>
                <w:szCs w:val="20"/>
              </w:rPr>
            </w:pPr>
            <w:r>
              <w:rPr>
                <w:rFonts w:cstheme="minorHAnsi"/>
                <w:color w:val="000000"/>
                <w:sz w:val="20"/>
                <w:szCs w:val="20"/>
              </w:rPr>
              <w:t>Southern red oak, scarlet oak</w:t>
            </w:r>
            <w:r w:rsidRPr="00E00529">
              <w:rPr>
                <w:rFonts w:cstheme="minorHAnsi"/>
                <w:color w:val="000000"/>
                <w:sz w:val="20"/>
                <w:szCs w:val="20"/>
              </w:rPr>
              <w:t xml:space="preserve"> </w:t>
            </w:r>
          </w:p>
        </w:tc>
        <w:tc>
          <w:tcPr>
            <w:tcW w:w="1173" w:type="pct"/>
          </w:tcPr>
          <w:p w14:paraId="535FEF79" w14:textId="77777777" w:rsidR="003D564B" w:rsidRPr="00E00529" w:rsidRDefault="003D564B" w:rsidP="003D564B">
            <w:pPr>
              <w:autoSpaceDE w:val="0"/>
              <w:autoSpaceDN w:val="0"/>
              <w:adjustRightInd w:val="0"/>
              <w:spacing w:after="0" w:line="240" w:lineRule="auto"/>
              <w:jc w:val="right"/>
              <w:rPr>
                <w:rFonts w:cstheme="minorHAnsi"/>
                <w:color w:val="333333"/>
                <w:sz w:val="20"/>
                <w:szCs w:val="20"/>
              </w:rPr>
            </w:pPr>
            <w:r w:rsidRPr="00E00529">
              <w:rPr>
                <w:rFonts w:cstheme="minorHAnsi"/>
                <w:color w:val="333333"/>
                <w:sz w:val="20"/>
                <w:szCs w:val="20"/>
              </w:rPr>
              <w:t>Eastern Broadleaf Forest Cumberland Plateau</w:t>
            </w:r>
          </w:p>
        </w:tc>
        <w:tc>
          <w:tcPr>
            <w:tcW w:w="713" w:type="pct"/>
          </w:tcPr>
          <w:p w14:paraId="2272CECC" w14:textId="77777777" w:rsidR="003D564B" w:rsidRPr="00E00529" w:rsidRDefault="003D564B" w:rsidP="003D564B">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oak-hickory</w:t>
            </w:r>
          </w:p>
        </w:tc>
        <w:tc>
          <w:tcPr>
            <w:tcW w:w="1075" w:type="pct"/>
            <w:gridSpan w:val="2"/>
          </w:tcPr>
          <w:p w14:paraId="6AD9870B" w14:textId="77777777" w:rsidR="003D564B" w:rsidRPr="00E00529" w:rsidRDefault="003D564B" w:rsidP="003D564B">
            <w:pPr>
              <w:autoSpaceDE w:val="0"/>
              <w:autoSpaceDN w:val="0"/>
              <w:adjustRightInd w:val="0"/>
              <w:spacing w:after="0" w:line="240" w:lineRule="auto"/>
              <w:jc w:val="right"/>
              <w:rPr>
                <w:rFonts w:cstheme="minorHAnsi"/>
                <w:color w:val="000000"/>
                <w:sz w:val="20"/>
                <w:szCs w:val="20"/>
              </w:rPr>
            </w:pPr>
            <w:r w:rsidRPr="00E00529">
              <w:rPr>
                <w:rFonts w:cstheme="minorHAnsi"/>
                <w:color w:val="000000"/>
                <w:sz w:val="20"/>
                <w:szCs w:val="20"/>
              </w:rPr>
              <w:t>130.08</w:t>
            </w:r>
          </w:p>
        </w:tc>
      </w:tr>
      <w:tr w:rsidR="003D564B" w:rsidRPr="00E00529" w14:paraId="1D6C7A25" w14:textId="77777777" w:rsidTr="003D564B">
        <w:trPr>
          <w:trHeight w:val="458"/>
        </w:trPr>
        <w:tc>
          <w:tcPr>
            <w:tcW w:w="496" w:type="pct"/>
          </w:tcPr>
          <w:p w14:paraId="6C2B37DD" w14:textId="77777777" w:rsidR="003D564B" w:rsidRPr="00E00529" w:rsidRDefault="003D564B" w:rsidP="003D564B">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HR_PI</w:t>
            </w:r>
          </w:p>
        </w:tc>
        <w:tc>
          <w:tcPr>
            <w:tcW w:w="467" w:type="pct"/>
            <w:vAlign w:val="bottom"/>
          </w:tcPr>
          <w:p w14:paraId="510AFA2B" w14:textId="3C21ED28" w:rsidR="003D564B" w:rsidRPr="00E00529" w:rsidRDefault="003D564B" w:rsidP="003D564B">
            <w:pPr>
              <w:autoSpaceDE w:val="0"/>
              <w:autoSpaceDN w:val="0"/>
              <w:adjustRightInd w:val="0"/>
              <w:spacing w:after="0" w:line="240" w:lineRule="auto"/>
              <w:jc w:val="right"/>
              <w:rPr>
                <w:rFonts w:cstheme="minorHAnsi"/>
                <w:color w:val="000000"/>
                <w:sz w:val="20"/>
                <w:szCs w:val="20"/>
              </w:rPr>
            </w:pPr>
            <w:r>
              <w:rPr>
                <w:rFonts w:ascii="Calibri" w:hAnsi="Calibri" w:cs="Calibri"/>
                <w:color w:val="000000"/>
              </w:rPr>
              <w:t xml:space="preserve">         254.3 </w:t>
            </w:r>
          </w:p>
        </w:tc>
        <w:tc>
          <w:tcPr>
            <w:tcW w:w="1075" w:type="pct"/>
          </w:tcPr>
          <w:p w14:paraId="2D2C1837" w14:textId="77777777" w:rsidR="003D564B" w:rsidRPr="00E00529" w:rsidRDefault="003D564B" w:rsidP="003D564B">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Loblolly pine</w:t>
            </w:r>
          </w:p>
        </w:tc>
        <w:tc>
          <w:tcPr>
            <w:tcW w:w="1173" w:type="pct"/>
          </w:tcPr>
          <w:p w14:paraId="0FA9D298" w14:textId="77777777" w:rsidR="003D564B" w:rsidRPr="00E00529" w:rsidRDefault="003D564B" w:rsidP="003D564B">
            <w:pPr>
              <w:autoSpaceDE w:val="0"/>
              <w:autoSpaceDN w:val="0"/>
              <w:adjustRightInd w:val="0"/>
              <w:spacing w:after="0" w:line="240" w:lineRule="auto"/>
              <w:jc w:val="right"/>
              <w:rPr>
                <w:rFonts w:cstheme="minorHAnsi"/>
                <w:color w:val="333333"/>
                <w:sz w:val="20"/>
                <w:szCs w:val="20"/>
              </w:rPr>
            </w:pPr>
            <w:r w:rsidRPr="00E00529">
              <w:rPr>
                <w:rFonts w:cstheme="minorHAnsi"/>
                <w:color w:val="333333"/>
                <w:sz w:val="20"/>
                <w:szCs w:val="20"/>
              </w:rPr>
              <w:t>Eastern Broadleaf Forest Cumberland Plateau</w:t>
            </w:r>
          </w:p>
        </w:tc>
        <w:tc>
          <w:tcPr>
            <w:tcW w:w="713" w:type="pct"/>
          </w:tcPr>
          <w:p w14:paraId="0100D82E" w14:textId="77777777" w:rsidR="003D564B" w:rsidRPr="00E00529" w:rsidRDefault="003D564B" w:rsidP="003D564B">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pine</w:t>
            </w:r>
          </w:p>
        </w:tc>
        <w:tc>
          <w:tcPr>
            <w:tcW w:w="1075" w:type="pct"/>
            <w:gridSpan w:val="2"/>
          </w:tcPr>
          <w:p w14:paraId="6AF7F234" w14:textId="77777777" w:rsidR="003D564B" w:rsidRPr="00E00529" w:rsidRDefault="003D564B" w:rsidP="003D564B">
            <w:pPr>
              <w:autoSpaceDE w:val="0"/>
              <w:autoSpaceDN w:val="0"/>
              <w:adjustRightInd w:val="0"/>
              <w:spacing w:after="0" w:line="240" w:lineRule="auto"/>
              <w:jc w:val="right"/>
              <w:rPr>
                <w:rFonts w:cstheme="minorHAnsi"/>
                <w:color w:val="000000"/>
                <w:sz w:val="20"/>
                <w:szCs w:val="20"/>
              </w:rPr>
            </w:pPr>
            <w:r w:rsidRPr="00E00529">
              <w:rPr>
                <w:rFonts w:cstheme="minorHAnsi"/>
                <w:color w:val="000000"/>
                <w:sz w:val="20"/>
                <w:szCs w:val="20"/>
              </w:rPr>
              <w:t>56.4</w:t>
            </w:r>
          </w:p>
        </w:tc>
      </w:tr>
      <w:tr w:rsidR="003D564B" w:rsidRPr="00E00529" w14:paraId="0F4A0455" w14:textId="77777777" w:rsidTr="003D564B">
        <w:trPr>
          <w:trHeight w:val="458"/>
        </w:trPr>
        <w:tc>
          <w:tcPr>
            <w:tcW w:w="496" w:type="pct"/>
          </w:tcPr>
          <w:p w14:paraId="6596A79E" w14:textId="77777777" w:rsidR="003D564B" w:rsidRPr="00E00529" w:rsidRDefault="003D564B" w:rsidP="003D564B">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HR_RG</w:t>
            </w:r>
          </w:p>
        </w:tc>
        <w:tc>
          <w:tcPr>
            <w:tcW w:w="467" w:type="pct"/>
            <w:vAlign w:val="bottom"/>
          </w:tcPr>
          <w:p w14:paraId="5FA951DB" w14:textId="52941BB3" w:rsidR="003D564B" w:rsidRPr="00E00529" w:rsidRDefault="003D564B" w:rsidP="003D564B">
            <w:pPr>
              <w:autoSpaceDE w:val="0"/>
              <w:autoSpaceDN w:val="0"/>
              <w:adjustRightInd w:val="0"/>
              <w:spacing w:after="0" w:line="240" w:lineRule="auto"/>
              <w:jc w:val="right"/>
              <w:rPr>
                <w:rFonts w:cstheme="minorHAnsi"/>
                <w:color w:val="000000"/>
                <w:sz w:val="20"/>
                <w:szCs w:val="20"/>
              </w:rPr>
            </w:pPr>
            <w:r>
              <w:rPr>
                <w:rFonts w:ascii="Calibri" w:hAnsi="Calibri" w:cs="Calibri"/>
                <w:color w:val="000000"/>
              </w:rPr>
              <w:t xml:space="preserve">         101.3 </w:t>
            </w:r>
          </w:p>
        </w:tc>
        <w:tc>
          <w:tcPr>
            <w:tcW w:w="1075" w:type="pct"/>
          </w:tcPr>
          <w:p w14:paraId="7DB62941" w14:textId="77777777" w:rsidR="003D564B" w:rsidRPr="00E00529" w:rsidRDefault="003D564B" w:rsidP="003D564B">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Shortleaf pine</w:t>
            </w:r>
          </w:p>
        </w:tc>
        <w:tc>
          <w:tcPr>
            <w:tcW w:w="1173" w:type="pct"/>
          </w:tcPr>
          <w:p w14:paraId="505995A1" w14:textId="77777777" w:rsidR="003D564B" w:rsidRPr="00E00529" w:rsidRDefault="003D564B" w:rsidP="003D564B">
            <w:pPr>
              <w:autoSpaceDE w:val="0"/>
              <w:autoSpaceDN w:val="0"/>
              <w:adjustRightInd w:val="0"/>
              <w:spacing w:after="0" w:line="240" w:lineRule="auto"/>
              <w:jc w:val="right"/>
              <w:rPr>
                <w:rFonts w:cstheme="minorHAnsi"/>
                <w:color w:val="333333"/>
                <w:sz w:val="20"/>
                <w:szCs w:val="20"/>
              </w:rPr>
            </w:pPr>
            <w:r w:rsidRPr="00E00529">
              <w:rPr>
                <w:rFonts w:cstheme="minorHAnsi"/>
                <w:color w:val="333333"/>
                <w:sz w:val="20"/>
                <w:szCs w:val="20"/>
              </w:rPr>
              <w:t>Eastern Broadleaf Forest Cumberland Plateau</w:t>
            </w:r>
          </w:p>
        </w:tc>
        <w:tc>
          <w:tcPr>
            <w:tcW w:w="713" w:type="pct"/>
          </w:tcPr>
          <w:p w14:paraId="17CE1470" w14:textId="77777777" w:rsidR="003D564B" w:rsidRPr="00E00529" w:rsidRDefault="003D564B" w:rsidP="003D564B">
            <w:pPr>
              <w:autoSpaceDE w:val="0"/>
              <w:autoSpaceDN w:val="0"/>
              <w:adjustRightInd w:val="0"/>
              <w:spacing w:after="0" w:line="240" w:lineRule="auto"/>
              <w:rPr>
                <w:rFonts w:cstheme="minorHAnsi"/>
                <w:color w:val="000000"/>
                <w:sz w:val="20"/>
                <w:szCs w:val="20"/>
              </w:rPr>
            </w:pPr>
            <w:r w:rsidRPr="00E00529">
              <w:rPr>
                <w:rFonts w:cstheme="minorHAnsi"/>
                <w:color w:val="000000"/>
                <w:sz w:val="20"/>
                <w:szCs w:val="20"/>
              </w:rPr>
              <w:t>pine</w:t>
            </w:r>
          </w:p>
        </w:tc>
        <w:tc>
          <w:tcPr>
            <w:tcW w:w="1075" w:type="pct"/>
            <w:gridSpan w:val="2"/>
          </w:tcPr>
          <w:p w14:paraId="1732F7E4" w14:textId="77777777" w:rsidR="003D564B" w:rsidRPr="00E00529" w:rsidRDefault="003D564B" w:rsidP="003D564B">
            <w:pPr>
              <w:autoSpaceDE w:val="0"/>
              <w:autoSpaceDN w:val="0"/>
              <w:adjustRightInd w:val="0"/>
              <w:spacing w:after="0" w:line="240" w:lineRule="auto"/>
              <w:jc w:val="right"/>
              <w:rPr>
                <w:rFonts w:cstheme="minorHAnsi"/>
                <w:color w:val="000000"/>
                <w:sz w:val="20"/>
                <w:szCs w:val="20"/>
              </w:rPr>
            </w:pPr>
            <w:r w:rsidRPr="00E00529">
              <w:rPr>
                <w:rFonts w:cstheme="minorHAnsi"/>
                <w:color w:val="000000"/>
                <w:sz w:val="20"/>
                <w:szCs w:val="20"/>
              </w:rPr>
              <w:t>56.4</w:t>
            </w:r>
          </w:p>
        </w:tc>
      </w:tr>
      <w:tr w:rsidR="00E00529" w:rsidRPr="00E00529" w14:paraId="2BCA6646" w14:textId="77777777" w:rsidTr="00D23478">
        <w:trPr>
          <w:trHeight w:val="290"/>
        </w:trPr>
        <w:tc>
          <w:tcPr>
            <w:tcW w:w="3931" w:type="pct"/>
            <w:gridSpan w:val="6"/>
          </w:tcPr>
          <w:p w14:paraId="0F239BA3" w14:textId="64CCC402" w:rsidR="00E00529" w:rsidRPr="00E00529" w:rsidRDefault="00E00529">
            <w:pPr>
              <w:autoSpaceDE w:val="0"/>
              <w:autoSpaceDN w:val="0"/>
              <w:adjustRightInd w:val="0"/>
              <w:spacing w:after="0" w:line="240" w:lineRule="auto"/>
              <w:jc w:val="right"/>
              <w:rPr>
                <w:rFonts w:cstheme="minorHAnsi"/>
                <w:color w:val="000000"/>
                <w:sz w:val="20"/>
                <w:szCs w:val="20"/>
              </w:rPr>
            </w:pPr>
            <w:r w:rsidRPr="00E00529">
              <w:rPr>
                <w:rFonts w:cstheme="minorHAnsi"/>
                <w:color w:val="000000"/>
                <w:sz w:val="20"/>
                <w:szCs w:val="20"/>
              </w:rPr>
              <w:t xml:space="preserve">    </w:t>
            </w:r>
          </w:p>
          <w:p w14:paraId="2A9A10F5" w14:textId="3EE26AAF" w:rsidR="00E00529" w:rsidRPr="00734A1E" w:rsidRDefault="00E00529">
            <w:pPr>
              <w:autoSpaceDE w:val="0"/>
              <w:autoSpaceDN w:val="0"/>
              <w:adjustRightInd w:val="0"/>
              <w:spacing w:after="0" w:line="240" w:lineRule="auto"/>
              <w:jc w:val="right"/>
              <w:rPr>
                <w:rFonts w:cstheme="minorHAnsi"/>
                <w:i/>
                <w:color w:val="000000"/>
                <w:sz w:val="20"/>
                <w:szCs w:val="20"/>
              </w:rPr>
            </w:pPr>
            <w:r w:rsidRPr="00734A1E">
              <w:rPr>
                <w:rFonts w:cstheme="minorHAnsi"/>
                <w:i/>
                <w:color w:val="000000"/>
                <w:sz w:val="20"/>
                <w:szCs w:val="20"/>
              </w:rPr>
              <w:t>Weighted average</w:t>
            </w:r>
          </w:p>
        </w:tc>
        <w:tc>
          <w:tcPr>
            <w:tcW w:w="1069" w:type="pct"/>
          </w:tcPr>
          <w:p w14:paraId="735E894D" w14:textId="082AC035" w:rsidR="00E00529" w:rsidRPr="00E00529" w:rsidRDefault="00E00529">
            <w:pPr>
              <w:autoSpaceDE w:val="0"/>
              <w:autoSpaceDN w:val="0"/>
              <w:adjustRightInd w:val="0"/>
              <w:spacing w:after="0" w:line="240" w:lineRule="auto"/>
              <w:jc w:val="right"/>
              <w:rPr>
                <w:rFonts w:cstheme="minorHAnsi"/>
                <w:color w:val="000000"/>
                <w:sz w:val="20"/>
                <w:szCs w:val="20"/>
              </w:rPr>
            </w:pPr>
            <w:r>
              <w:rPr>
                <w:rFonts w:cstheme="minorHAnsi"/>
                <w:color w:val="000000"/>
                <w:sz w:val="20"/>
                <w:szCs w:val="20"/>
              </w:rPr>
              <w:t>137.4</w:t>
            </w:r>
          </w:p>
        </w:tc>
      </w:tr>
    </w:tbl>
    <w:p w14:paraId="45C4C3A2" w14:textId="71EC0573" w:rsidR="00F82DD3" w:rsidRPr="00F82DD3" w:rsidRDefault="00F82DD3" w:rsidP="00D23478">
      <w:pPr>
        <w:rPr>
          <w:rFonts w:cstheme="minorHAnsi"/>
        </w:rPr>
      </w:pPr>
      <w:r w:rsidRPr="004638BF">
        <w:rPr>
          <w:rFonts w:cstheme="minorHAnsi"/>
        </w:rPr>
        <w:t>*converted from aboveground to above and belowground assuming 20% root:shoot ratio</w:t>
      </w:r>
    </w:p>
    <w:p w14:paraId="6EFC1D71" w14:textId="77777777" w:rsidR="00E702BD" w:rsidRDefault="00E702BD" w:rsidP="000E23B0">
      <w:pPr>
        <w:pStyle w:val="Heading2"/>
      </w:pPr>
    </w:p>
    <w:p w14:paraId="28AA4E0D" w14:textId="72D1A036" w:rsidR="00DB7BAC" w:rsidRPr="001A220D" w:rsidRDefault="00546796" w:rsidP="000E23B0">
      <w:pPr>
        <w:pStyle w:val="Heading2"/>
      </w:pPr>
      <w:bookmarkStart w:id="24" w:name="_Toc2243501"/>
      <w:r w:rsidRPr="001A220D">
        <w:t xml:space="preserve">C3. </w:t>
      </w:r>
      <w:r w:rsidR="00A00750" w:rsidRPr="001A220D">
        <w:t>IMPLEMENTATION BARRIERS TEST</w:t>
      </w:r>
      <w:bookmarkEnd w:id="24"/>
    </w:p>
    <w:p w14:paraId="2C3F2121" w14:textId="34FFFF6F" w:rsidR="007E7F3B" w:rsidRPr="001A220D" w:rsidRDefault="000F35C3" w:rsidP="00460588">
      <w:r w:rsidRPr="001A220D">
        <w:t xml:space="preserve">The project activity faces a financial barrier. </w:t>
      </w:r>
      <w:r w:rsidR="004171AC" w:rsidRPr="001A220D">
        <w:t xml:space="preserve">Net present values were calculated referencing the baseline and project scenarios outlined in Sections E1 and E6 below, </w:t>
      </w:r>
      <w:r w:rsidR="009D73E1">
        <w:t>at</w:t>
      </w:r>
      <w:r w:rsidR="0075623F" w:rsidRPr="001A220D">
        <w:t xml:space="preserve"> a 4</w:t>
      </w:r>
      <w:r w:rsidRPr="001A220D">
        <w:t>% discount rate</w:t>
      </w:r>
      <w:r w:rsidR="007E7F3B" w:rsidRPr="001A220D">
        <w:t xml:space="preserve"> over the 20-</w:t>
      </w:r>
      <w:r w:rsidR="004171AC" w:rsidRPr="001A220D">
        <w:t>year crediting p</w:t>
      </w:r>
      <w:r w:rsidR="004D5CAF" w:rsidRPr="001A220D">
        <w:t>eriod from 2019 to 2038</w:t>
      </w:r>
      <w:r w:rsidR="004171AC" w:rsidRPr="001A220D">
        <w:t xml:space="preserve">. </w:t>
      </w:r>
    </w:p>
    <w:p w14:paraId="4CD84AAB" w14:textId="5213C0BB" w:rsidR="007805AA" w:rsidRDefault="00260949" w:rsidP="007805AA">
      <w:pPr>
        <w:rPr>
          <w:rFonts w:ascii="Calibri" w:hAnsi="Calibri" w:cs="Calibri"/>
          <w:color w:val="000000"/>
        </w:rPr>
      </w:pPr>
      <w:r w:rsidRPr="00FC0216">
        <w:t xml:space="preserve">The project activity, without carbon revenue, is expected to </w:t>
      </w:r>
      <w:r w:rsidR="00DE5278" w:rsidRPr="00FC0216">
        <w:t xml:space="preserve">generate </w:t>
      </w:r>
      <w:r w:rsidR="000F2F5C">
        <w:t>$3,110,822.</w:t>
      </w:r>
    </w:p>
    <w:p w14:paraId="1CDB04B8" w14:textId="1289122A" w:rsidR="00E7156B" w:rsidRPr="000F2F5C" w:rsidRDefault="00260949" w:rsidP="00260949">
      <w:r w:rsidRPr="00FC0216">
        <w:t>NPV</w:t>
      </w:r>
      <w:r w:rsidR="004D5CAF" w:rsidRPr="00FC0216">
        <w:t xml:space="preserve"> (in 2019</w:t>
      </w:r>
      <w:r w:rsidR="00DE5278" w:rsidRPr="00FC0216">
        <w:t xml:space="preserve"> $$) in timber revenue</w:t>
      </w:r>
      <w:r w:rsidRPr="00FC0216">
        <w:t>, unambiguously lower than the return in the baseline NPV maximization scenari</w:t>
      </w:r>
      <w:r w:rsidR="004D5CAF" w:rsidRPr="00FC0216">
        <w:t>o expected to yield NPV (in 2019</w:t>
      </w:r>
      <w:r w:rsidRPr="00FC0216">
        <w:t xml:space="preserve"> $$) of </w:t>
      </w:r>
      <w:r w:rsidR="00DA1C64">
        <w:t>$18,733,560</w:t>
      </w:r>
      <w:r w:rsidR="000F2F5C">
        <w:t xml:space="preserve">, </w:t>
      </w:r>
      <w:r w:rsidR="00632ECE" w:rsidRPr="001A220D">
        <w:rPr>
          <w:rFonts w:ascii="Calibri" w:eastAsia="Times New Roman" w:hAnsi="Calibri" w:cs="Calibri"/>
          <w:color w:val="000000"/>
          <w:lang w:eastAsia="es-MX"/>
        </w:rPr>
        <w:t>(documented in “NPV additionality</w:t>
      </w:r>
      <w:r w:rsidR="00DE5278" w:rsidRPr="001A220D">
        <w:rPr>
          <w:rFonts w:ascii="Calibri" w:eastAsia="Times New Roman" w:hAnsi="Calibri" w:cs="Calibri"/>
          <w:color w:val="000000"/>
          <w:lang w:eastAsia="es-MX"/>
        </w:rPr>
        <w:t xml:space="preserve"> </w:t>
      </w:r>
      <w:r w:rsidR="00CE735B" w:rsidRPr="001A220D">
        <w:rPr>
          <w:rFonts w:ascii="Calibri" w:eastAsia="Times New Roman" w:hAnsi="Calibri" w:cs="Calibri"/>
          <w:color w:val="000000"/>
          <w:lang w:eastAsia="es-MX"/>
        </w:rPr>
        <w:t>UTK</w:t>
      </w:r>
      <w:r w:rsidR="00FE3C90">
        <w:rPr>
          <w:rFonts w:ascii="Calibri" w:eastAsia="Times New Roman" w:hAnsi="Calibri" w:cs="Calibri"/>
          <w:color w:val="000000"/>
          <w:lang w:eastAsia="es-MX"/>
        </w:rPr>
        <w:t>*</w:t>
      </w:r>
      <w:r w:rsidR="00632ECE" w:rsidRPr="001A220D">
        <w:rPr>
          <w:rFonts w:ascii="Calibri" w:eastAsia="Times New Roman" w:hAnsi="Calibri" w:cs="Calibri"/>
          <w:color w:val="000000"/>
          <w:lang w:eastAsia="es-MX"/>
        </w:rPr>
        <w:t>.xlsx”)</w:t>
      </w:r>
      <w:r w:rsidRPr="001A220D">
        <w:rPr>
          <w:rFonts w:ascii="Calibri" w:eastAsia="Times New Roman" w:hAnsi="Calibri" w:cs="Calibri"/>
          <w:color w:val="000000"/>
          <w:lang w:eastAsia="es-MX"/>
        </w:rPr>
        <w:t xml:space="preserve">. </w:t>
      </w:r>
      <w:r w:rsidR="00EE3938" w:rsidRPr="001A220D">
        <w:rPr>
          <w:rFonts w:ascii="Calibri" w:eastAsia="Times New Roman" w:hAnsi="Calibri" w:cs="Calibri"/>
          <w:color w:val="000000"/>
          <w:lang w:eastAsia="es-MX"/>
        </w:rPr>
        <w:t>Thus, t</w:t>
      </w:r>
      <w:r w:rsidRPr="001A220D">
        <w:t>he project activity is clearly not the most profitable forest management use.</w:t>
      </w:r>
    </w:p>
    <w:p w14:paraId="6B1ECC42" w14:textId="77777777" w:rsidR="00212341" w:rsidRPr="007F00E0" w:rsidRDefault="00212341" w:rsidP="00212341">
      <w:pPr>
        <w:ind w:left="90"/>
      </w:pPr>
    </w:p>
    <w:p w14:paraId="178EDD91" w14:textId="77777777" w:rsidR="007F00E0" w:rsidRDefault="007F00E0" w:rsidP="007F00E0">
      <w:pPr>
        <w:pStyle w:val="Heading2"/>
      </w:pPr>
      <w:bookmarkStart w:id="25" w:name="_Toc2243502"/>
      <w:r w:rsidRPr="00AA7500">
        <w:t>C</w:t>
      </w:r>
      <w:r>
        <w:t>4</w:t>
      </w:r>
      <w:r w:rsidRPr="00AA7500">
        <w:t xml:space="preserve">. </w:t>
      </w:r>
      <w:r>
        <w:t>PERFORMANCE STANDARD TEST</w:t>
      </w:r>
      <w:bookmarkEnd w:id="25"/>
    </w:p>
    <w:p w14:paraId="5ED6B234" w14:textId="77777777" w:rsidR="007B19C8" w:rsidRPr="007B19C8" w:rsidRDefault="007B19C8" w:rsidP="007F00E0">
      <w:r>
        <w:t>Not applicable.</w:t>
      </w:r>
    </w:p>
    <w:p w14:paraId="6D7F6D5F" w14:textId="77777777" w:rsidR="007F00E0" w:rsidRDefault="007F00E0" w:rsidP="007F00E0">
      <w:pPr>
        <w:ind w:left="360"/>
      </w:pPr>
    </w:p>
    <w:p w14:paraId="4C93D8B6" w14:textId="77777777" w:rsidR="00A032A8" w:rsidRDefault="00580B7D" w:rsidP="00A032A8">
      <w:pPr>
        <w:sectPr w:rsidR="00A032A8" w:rsidSect="00A032A8">
          <w:type w:val="oddPage"/>
          <w:pgSz w:w="12240" w:h="15840"/>
          <w:pgMar w:top="1440" w:right="1440" w:bottom="1440" w:left="1440" w:header="720" w:footer="144" w:gutter="0"/>
          <w:cols w:space="720"/>
          <w:docGrid w:linePitch="360"/>
        </w:sectPr>
      </w:pPr>
      <w:r>
        <w:br w:type="page"/>
      </w:r>
    </w:p>
    <w:p w14:paraId="5EED9A0D" w14:textId="77777777" w:rsidR="00580B7D" w:rsidRPr="00A032A8" w:rsidRDefault="00580B7D" w:rsidP="00A032A8">
      <w:pPr>
        <w:rPr>
          <w:rFonts w:eastAsiaTheme="majorEastAsia" w:cstheme="majorBidi"/>
          <w:b/>
          <w:bCs/>
          <w:sz w:val="52"/>
          <w:szCs w:val="52"/>
        </w:rPr>
      </w:pPr>
    </w:p>
    <w:p w14:paraId="5C3BE00E" w14:textId="77777777" w:rsidR="00580B7D" w:rsidRDefault="00580B7D" w:rsidP="006F54FC">
      <w:pPr>
        <w:pStyle w:val="Heading1"/>
      </w:pPr>
    </w:p>
    <w:p w14:paraId="000F522E" w14:textId="77777777" w:rsidR="00580B7D" w:rsidRDefault="00580B7D" w:rsidP="006F54FC">
      <w:pPr>
        <w:pStyle w:val="Heading1"/>
      </w:pPr>
    </w:p>
    <w:p w14:paraId="66D06110" w14:textId="77777777" w:rsidR="00580B7D" w:rsidRDefault="00580B7D" w:rsidP="006F54FC">
      <w:pPr>
        <w:pStyle w:val="Heading1"/>
      </w:pPr>
    </w:p>
    <w:p w14:paraId="63287F0C" w14:textId="77777777" w:rsidR="00DB7BAC" w:rsidRDefault="000F6CBD" w:rsidP="006F54FC">
      <w:pPr>
        <w:pStyle w:val="Heading1"/>
      </w:pPr>
      <w:bookmarkStart w:id="26" w:name="_Toc2243503"/>
      <w:r>
        <w:t>D</w:t>
      </w:r>
      <w:r w:rsidR="00546796">
        <w:t>.</w:t>
      </w:r>
      <w:r w:rsidR="003B7D55">
        <w:br/>
      </w:r>
      <w:r w:rsidR="006424C5">
        <w:t>MONITORING PLAN</w:t>
      </w:r>
      <w:bookmarkEnd w:id="26"/>
    </w:p>
    <w:p w14:paraId="239EEDD7" w14:textId="77777777" w:rsidR="00DB7BAC" w:rsidRDefault="00DB7BAC">
      <w:pPr>
        <w:rPr>
          <w:b/>
          <w:sz w:val="52"/>
        </w:rPr>
      </w:pPr>
      <w:r>
        <w:rPr>
          <w:b/>
          <w:sz w:val="52"/>
        </w:rPr>
        <w:br w:type="page"/>
      </w:r>
    </w:p>
    <w:p w14:paraId="23171BF6" w14:textId="77777777" w:rsidR="00546796" w:rsidRDefault="000F6CBD" w:rsidP="00383FC4">
      <w:pPr>
        <w:pStyle w:val="Heading2"/>
      </w:pPr>
      <w:bookmarkStart w:id="27" w:name="_Toc2243504"/>
      <w:r>
        <w:t>D</w:t>
      </w:r>
      <w:r w:rsidR="00546796">
        <w:t xml:space="preserve">1. </w:t>
      </w:r>
      <w:r w:rsidR="00B419F1">
        <w:t>MONITORED DATA AND PARAMETERS</w:t>
      </w:r>
      <w:bookmarkEnd w:id="27"/>
    </w:p>
    <w:p w14:paraId="48987173" w14:textId="77777777" w:rsidR="00A478C2" w:rsidRDefault="00A478C2" w:rsidP="00DC0213"/>
    <w:p w14:paraId="1B4534C0" w14:textId="0400E815" w:rsidR="00010631" w:rsidRDefault="00010631" w:rsidP="00DC0213">
      <w:r>
        <w:t>Live</w:t>
      </w:r>
      <w:r w:rsidR="00C23EBA">
        <w:t xml:space="preserve"> and dead</w:t>
      </w:r>
      <w:r>
        <w:t xml:space="preserve"> tree stocks will be monitored via forest inventory</w:t>
      </w:r>
      <w:r w:rsidR="007D4CEC">
        <w:t xml:space="preserve"> conducted every 5 years or less</w:t>
      </w:r>
      <w:r w:rsidR="00A35228">
        <w:t xml:space="preserve">, with field measurement and estimation procedures consistent </w:t>
      </w:r>
      <w:r w:rsidR="007D4CEC">
        <w:t xml:space="preserve">with </w:t>
      </w:r>
      <w:r w:rsidR="00A35228">
        <w:t xml:space="preserve">those outlined in Section E1 below. </w:t>
      </w:r>
    </w:p>
    <w:p w14:paraId="490579C6" w14:textId="21A84E4F" w:rsidR="00010631" w:rsidRDefault="00010631" w:rsidP="00DC0213">
      <w:r>
        <w:t xml:space="preserve">The following parameters, specified in the </w:t>
      </w:r>
      <w:hyperlink r:id="rId22" w:tooltip="IFM methodology for non-federal US forestlands published" w:history="1">
        <w:r>
          <w:t>I</w:t>
        </w:r>
        <w:r w:rsidRPr="00A42610">
          <w:t>mproved Forest Management Methodology for Quantifying GHG Removals and Emission Reductions through Increased Forest Carbon Sequestration on Non-Federal U.S. Forestlands</w:t>
        </w:r>
      </w:hyperlink>
      <w:r w:rsidR="009C6E4A">
        <w:t xml:space="preserve"> v1.3</w:t>
      </w:r>
      <w:r>
        <w:t>, will be monitored.</w:t>
      </w:r>
    </w:p>
    <w:p w14:paraId="50D0E857" w14:textId="7FC6B330" w:rsidR="00471A1A" w:rsidRPr="00010631" w:rsidRDefault="00471A1A" w:rsidP="00DC0213">
      <w:r>
        <w:t xml:space="preserve">Note that </w:t>
      </w:r>
      <w:r w:rsidRPr="00471A1A">
        <w:t xml:space="preserve">QA/QC procedures for data and parameters </w:t>
      </w:r>
      <w:r>
        <w:t xml:space="preserve">related to baseline uncertainty (not monitored) are provided in </w:t>
      </w:r>
      <w:r>
        <w:rPr>
          <w:iCs/>
        </w:rPr>
        <w:t>“</w:t>
      </w:r>
      <w:r w:rsidR="00C23EBA" w:rsidRPr="00C23EBA">
        <w:rPr>
          <w:iCs/>
        </w:rPr>
        <w:t xml:space="preserve">FINAL UTIA forest C inventory SOPs </w:t>
      </w:r>
      <w:r w:rsidR="00FE3C90">
        <w:rPr>
          <w:iCs/>
        </w:rPr>
        <w:t>*</w:t>
      </w:r>
      <w:r>
        <w:rPr>
          <w:iCs/>
        </w:rPr>
        <w:t>”, to ensure accurate and precise measurement data was collected in the</w:t>
      </w:r>
      <w:r>
        <w:t xml:space="preserve"> inventory used to derive the project baseline.</w:t>
      </w:r>
      <w:r w:rsidR="001A07C7">
        <w:t xml:space="preserve"> Subsequent growth and yield modeling using FVS-SN applied best practices, calibrating the model with location and site class data.</w:t>
      </w:r>
    </w:p>
    <w:tbl>
      <w:tblPr>
        <w:tblStyle w:val="TableGrid"/>
        <w:tblW w:w="0" w:type="auto"/>
        <w:tblLook w:val="04A0" w:firstRow="1" w:lastRow="0" w:firstColumn="1" w:lastColumn="0" w:noHBand="0" w:noVBand="1"/>
      </w:tblPr>
      <w:tblGrid>
        <w:gridCol w:w="2992"/>
        <w:gridCol w:w="4788"/>
      </w:tblGrid>
      <w:tr w:rsidR="00DC0213" w14:paraId="6B7EBB22" w14:textId="77777777" w:rsidTr="00661201">
        <w:tc>
          <w:tcPr>
            <w:tcW w:w="2992" w:type="dxa"/>
            <w:shd w:val="clear" w:color="auto" w:fill="C2D69B" w:themeFill="accent3" w:themeFillTint="99"/>
          </w:tcPr>
          <w:p w14:paraId="721D7A77" w14:textId="77777777" w:rsidR="00DC0213" w:rsidRDefault="00DC0213" w:rsidP="00AA7500">
            <w:pPr>
              <w:rPr>
                <w:i/>
              </w:rPr>
            </w:pPr>
            <w:r>
              <w:rPr>
                <w:i/>
              </w:rPr>
              <w:t>Data or Parameter Monitored</w:t>
            </w:r>
          </w:p>
        </w:tc>
        <w:tc>
          <w:tcPr>
            <w:tcW w:w="4788" w:type="dxa"/>
          </w:tcPr>
          <w:p w14:paraId="6FF029C1" w14:textId="77777777" w:rsidR="00DC0213" w:rsidRDefault="00DE3F85" w:rsidP="00AA7500">
            <w:pPr>
              <w:rPr>
                <w:i/>
              </w:rPr>
            </w:pPr>
            <w:r w:rsidRPr="006B5952">
              <w:rPr>
                <w:rFonts w:ascii="Calibri" w:hAnsi="Calibri"/>
                <w:i/>
                <w:sz w:val="24"/>
                <w:szCs w:val="24"/>
              </w:rPr>
              <w:t>C</w:t>
            </w:r>
            <w:r w:rsidRPr="006B5952">
              <w:rPr>
                <w:rFonts w:ascii="Calibri" w:hAnsi="Calibri"/>
                <w:i/>
                <w:sz w:val="24"/>
                <w:szCs w:val="24"/>
                <w:vertAlign w:val="subscript"/>
              </w:rPr>
              <w:t>P,TREE,t</w:t>
            </w:r>
          </w:p>
        </w:tc>
      </w:tr>
      <w:tr w:rsidR="00DC0213" w14:paraId="72FE27FF" w14:textId="77777777" w:rsidTr="00661201">
        <w:tc>
          <w:tcPr>
            <w:tcW w:w="2992" w:type="dxa"/>
            <w:shd w:val="clear" w:color="auto" w:fill="C2D69B" w:themeFill="accent3" w:themeFillTint="99"/>
          </w:tcPr>
          <w:p w14:paraId="77DE0873" w14:textId="77777777" w:rsidR="00DC0213" w:rsidRDefault="00DC0213" w:rsidP="00AA7500">
            <w:pPr>
              <w:rPr>
                <w:i/>
              </w:rPr>
            </w:pPr>
            <w:r>
              <w:rPr>
                <w:i/>
              </w:rPr>
              <w:t>Unit of Measurement</w:t>
            </w:r>
          </w:p>
        </w:tc>
        <w:tc>
          <w:tcPr>
            <w:tcW w:w="4788" w:type="dxa"/>
          </w:tcPr>
          <w:p w14:paraId="1BF722C9" w14:textId="77777777" w:rsidR="00DC0213" w:rsidRDefault="00DE3F85" w:rsidP="00AA7500">
            <w:pPr>
              <w:rPr>
                <w:i/>
              </w:rPr>
            </w:pPr>
            <w:r w:rsidRPr="00891D11">
              <w:rPr>
                <w:rFonts w:ascii="Calibri" w:hAnsi="Calibri"/>
              </w:rPr>
              <w:t xml:space="preserve">metric </w:t>
            </w:r>
            <w:r>
              <w:rPr>
                <w:rFonts w:ascii="Calibri" w:hAnsi="Calibri"/>
              </w:rPr>
              <w:t>tons</w:t>
            </w:r>
            <w:r w:rsidRPr="00891D11">
              <w:rPr>
                <w:rFonts w:ascii="Calibri" w:hAnsi="Calibri"/>
              </w:rPr>
              <w:t xml:space="preserve"> CO</w:t>
            </w:r>
            <w:r w:rsidRPr="00891D11">
              <w:rPr>
                <w:rFonts w:ascii="Calibri" w:hAnsi="Calibri"/>
                <w:vertAlign w:val="subscript"/>
              </w:rPr>
              <w:t>2</w:t>
            </w:r>
          </w:p>
        </w:tc>
      </w:tr>
      <w:tr w:rsidR="00DC0213" w14:paraId="02B745A9" w14:textId="77777777" w:rsidTr="00661201">
        <w:tc>
          <w:tcPr>
            <w:tcW w:w="2992" w:type="dxa"/>
            <w:shd w:val="clear" w:color="auto" w:fill="C2D69B" w:themeFill="accent3" w:themeFillTint="99"/>
          </w:tcPr>
          <w:p w14:paraId="1B515D92" w14:textId="77777777" w:rsidR="00DC0213" w:rsidRDefault="00DC0213" w:rsidP="00AA7500">
            <w:pPr>
              <w:rPr>
                <w:i/>
              </w:rPr>
            </w:pPr>
            <w:r>
              <w:rPr>
                <w:i/>
              </w:rPr>
              <w:t>Description</w:t>
            </w:r>
          </w:p>
        </w:tc>
        <w:tc>
          <w:tcPr>
            <w:tcW w:w="4788" w:type="dxa"/>
          </w:tcPr>
          <w:p w14:paraId="1B7F6E4D" w14:textId="77777777" w:rsidR="00DC0213" w:rsidRDefault="00DE3F85" w:rsidP="00DE3F85">
            <w:pPr>
              <w:rPr>
                <w:i/>
              </w:rPr>
            </w:pPr>
            <w:r>
              <w:rPr>
                <w:rFonts w:ascii="Calibri" w:hAnsi="Calibri"/>
              </w:rPr>
              <w:t>C</w:t>
            </w:r>
            <w:r w:rsidRPr="00891D11">
              <w:rPr>
                <w:rFonts w:ascii="Calibri" w:hAnsi="Calibri"/>
              </w:rPr>
              <w:t xml:space="preserve">arbon stored in above and below ground live trees at the beginning of the year </w:t>
            </w:r>
            <w:r w:rsidRPr="00891D11">
              <w:rPr>
                <w:rFonts w:ascii="Calibri" w:hAnsi="Calibri"/>
                <w:i/>
              </w:rPr>
              <w:t>t</w:t>
            </w:r>
            <w:r w:rsidRPr="00891D11">
              <w:rPr>
                <w:rFonts w:ascii="Calibri" w:hAnsi="Calibri"/>
              </w:rPr>
              <w:t xml:space="preserve"> </w:t>
            </w:r>
          </w:p>
        </w:tc>
      </w:tr>
      <w:tr w:rsidR="00DC0213" w14:paraId="712C4D1E" w14:textId="77777777" w:rsidTr="00661201">
        <w:tc>
          <w:tcPr>
            <w:tcW w:w="2992" w:type="dxa"/>
            <w:shd w:val="clear" w:color="auto" w:fill="C2D69B" w:themeFill="accent3" w:themeFillTint="99"/>
          </w:tcPr>
          <w:p w14:paraId="4BF81506" w14:textId="77777777" w:rsidR="00DC0213" w:rsidRDefault="00DC0213" w:rsidP="00AA7500">
            <w:pPr>
              <w:rPr>
                <w:i/>
              </w:rPr>
            </w:pPr>
            <w:r>
              <w:rPr>
                <w:i/>
              </w:rPr>
              <w:t>Data Source</w:t>
            </w:r>
          </w:p>
        </w:tc>
        <w:tc>
          <w:tcPr>
            <w:tcW w:w="4788" w:type="dxa"/>
          </w:tcPr>
          <w:p w14:paraId="074B5C9B" w14:textId="77777777" w:rsidR="00DC0213" w:rsidRPr="006874F7" w:rsidRDefault="006874F7" w:rsidP="00AA7500">
            <w:r>
              <w:t>Forest inventory.</w:t>
            </w:r>
          </w:p>
        </w:tc>
      </w:tr>
      <w:tr w:rsidR="00DC0213" w14:paraId="717CF220" w14:textId="77777777" w:rsidTr="00661201">
        <w:tc>
          <w:tcPr>
            <w:tcW w:w="2992" w:type="dxa"/>
            <w:shd w:val="clear" w:color="auto" w:fill="C2D69B" w:themeFill="accent3" w:themeFillTint="99"/>
          </w:tcPr>
          <w:p w14:paraId="4B977B8C" w14:textId="77777777" w:rsidR="00DC0213" w:rsidRDefault="00DC0213" w:rsidP="00AA7500">
            <w:pPr>
              <w:rPr>
                <w:i/>
              </w:rPr>
            </w:pPr>
            <w:r>
              <w:rPr>
                <w:i/>
              </w:rPr>
              <w:t>Measurement Methodology</w:t>
            </w:r>
          </w:p>
        </w:tc>
        <w:tc>
          <w:tcPr>
            <w:tcW w:w="4788" w:type="dxa"/>
          </w:tcPr>
          <w:p w14:paraId="0D6B893F" w14:textId="04D53007" w:rsidR="00DC0213" w:rsidRDefault="006874F7" w:rsidP="006874F7">
            <w:pPr>
              <w:rPr>
                <w:i/>
              </w:rPr>
            </w:pPr>
            <w:r>
              <w:t>To be consistent with</w:t>
            </w:r>
            <w:r w:rsidR="00FE306C">
              <w:t xml:space="preserve"> </w:t>
            </w:r>
            <w:r w:rsidR="00FE306C">
              <w:rPr>
                <w:iCs/>
              </w:rPr>
              <w:t>field measurement protocols specified in “</w:t>
            </w:r>
            <w:r w:rsidR="00C23EBA" w:rsidRPr="00C23EBA">
              <w:rPr>
                <w:iCs/>
              </w:rPr>
              <w:t xml:space="preserve">FINAL UTIA forest C inventory SOPs </w:t>
            </w:r>
            <w:r w:rsidR="00FE3C90">
              <w:rPr>
                <w:iCs/>
              </w:rPr>
              <w:t>*</w:t>
            </w:r>
            <w:r w:rsidR="00FE306C">
              <w:rPr>
                <w:iCs/>
              </w:rPr>
              <w:t xml:space="preserve">”. </w:t>
            </w:r>
          </w:p>
        </w:tc>
      </w:tr>
      <w:tr w:rsidR="00DC0213" w14:paraId="5978FA02" w14:textId="77777777" w:rsidTr="00661201">
        <w:tc>
          <w:tcPr>
            <w:tcW w:w="2992" w:type="dxa"/>
            <w:shd w:val="clear" w:color="auto" w:fill="C2D69B" w:themeFill="accent3" w:themeFillTint="99"/>
          </w:tcPr>
          <w:p w14:paraId="6161B753" w14:textId="77777777" w:rsidR="00DC0213" w:rsidRDefault="00DC0213" w:rsidP="00AA7500">
            <w:pPr>
              <w:rPr>
                <w:i/>
              </w:rPr>
            </w:pPr>
            <w:r>
              <w:rPr>
                <w:i/>
              </w:rPr>
              <w:t>Data Uncertainty</w:t>
            </w:r>
          </w:p>
        </w:tc>
        <w:tc>
          <w:tcPr>
            <w:tcW w:w="4788" w:type="dxa"/>
          </w:tcPr>
          <w:p w14:paraId="7CC2D52C" w14:textId="77777777" w:rsidR="00DC0213" w:rsidRPr="006874F7" w:rsidRDefault="006874F7" w:rsidP="00AA7500">
            <w:r>
              <w:t>To be calculated as the mean +/- 90% confidence interval</w:t>
            </w:r>
          </w:p>
        </w:tc>
      </w:tr>
      <w:tr w:rsidR="00DC0213" w14:paraId="3B9BDF8D" w14:textId="77777777" w:rsidTr="00661201">
        <w:tc>
          <w:tcPr>
            <w:tcW w:w="2992" w:type="dxa"/>
            <w:shd w:val="clear" w:color="auto" w:fill="C2D69B" w:themeFill="accent3" w:themeFillTint="99"/>
          </w:tcPr>
          <w:p w14:paraId="111C16D7" w14:textId="77777777" w:rsidR="00DC0213" w:rsidRDefault="00DC0213" w:rsidP="00AA7500">
            <w:pPr>
              <w:rPr>
                <w:i/>
              </w:rPr>
            </w:pPr>
            <w:r>
              <w:rPr>
                <w:i/>
              </w:rPr>
              <w:t>Monitoring Frequency</w:t>
            </w:r>
          </w:p>
        </w:tc>
        <w:tc>
          <w:tcPr>
            <w:tcW w:w="4788" w:type="dxa"/>
          </w:tcPr>
          <w:p w14:paraId="7DA4F019" w14:textId="77777777" w:rsidR="00DC0213" w:rsidRPr="006874F7" w:rsidRDefault="006874F7" w:rsidP="0017746E">
            <w:r>
              <w:t>Every 5 years or less, or at request for ERT issuance</w:t>
            </w:r>
          </w:p>
        </w:tc>
      </w:tr>
      <w:tr w:rsidR="00DC0213" w14:paraId="32018F56" w14:textId="77777777" w:rsidTr="00661201">
        <w:tc>
          <w:tcPr>
            <w:tcW w:w="2992" w:type="dxa"/>
            <w:shd w:val="clear" w:color="auto" w:fill="C2D69B" w:themeFill="accent3" w:themeFillTint="99"/>
          </w:tcPr>
          <w:p w14:paraId="65DBF06C" w14:textId="77777777" w:rsidR="00DC0213" w:rsidRDefault="00DC0213" w:rsidP="00A23982">
            <w:pPr>
              <w:rPr>
                <w:i/>
              </w:rPr>
            </w:pPr>
            <w:r>
              <w:rPr>
                <w:i/>
              </w:rPr>
              <w:t>Reporting Procedure</w:t>
            </w:r>
          </w:p>
        </w:tc>
        <w:tc>
          <w:tcPr>
            <w:tcW w:w="4788" w:type="dxa"/>
          </w:tcPr>
          <w:p w14:paraId="41A35506" w14:textId="77777777" w:rsidR="00DC0213" w:rsidRDefault="00DC0213" w:rsidP="00AA7500">
            <w:pPr>
              <w:rPr>
                <w:i/>
              </w:rPr>
            </w:pPr>
          </w:p>
        </w:tc>
      </w:tr>
      <w:tr w:rsidR="00DC0213" w14:paraId="7EC658D8" w14:textId="77777777" w:rsidTr="00661201">
        <w:tc>
          <w:tcPr>
            <w:tcW w:w="2992" w:type="dxa"/>
            <w:shd w:val="clear" w:color="auto" w:fill="C2D69B" w:themeFill="accent3" w:themeFillTint="99"/>
          </w:tcPr>
          <w:p w14:paraId="00E4AD03" w14:textId="77777777" w:rsidR="00DC0213" w:rsidRDefault="00DC0213" w:rsidP="00A23982">
            <w:pPr>
              <w:rPr>
                <w:i/>
              </w:rPr>
            </w:pPr>
            <w:r>
              <w:rPr>
                <w:i/>
              </w:rPr>
              <w:t>QA/QC Procedure</w:t>
            </w:r>
          </w:p>
        </w:tc>
        <w:tc>
          <w:tcPr>
            <w:tcW w:w="4788" w:type="dxa"/>
          </w:tcPr>
          <w:p w14:paraId="5FCE0C9A" w14:textId="01A02C20" w:rsidR="00DC0213" w:rsidRDefault="006874F7" w:rsidP="00135FE4">
            <w:pPr>
              <w:rPr>
                <w:i/>
              </w:rPr>
            </w:pPr>
            <w:r>
              <w:t xml:space="preserve">To be consistent </w:t>
            </w:r>
            <w:r w:rsidR="00375867">
              <w:t xml:space="preserve">with </w:t>
            </w:r>
            <w:r w:rsidR="00375867">
              <w:rPr>
                <w:iCs/>
              </w:rPr>
              <w:t>field measurement protocols specified in “</w:t>
            </w:r>
            <w:r w:rsidR="00C23EBA" w:rsidRPr="00C23EBA">
              <w:rPr>
                <w:iCs/>
              </w:rPr>
              <w:t xml:space="preserve">FINAL UTIA forest C inventory SOPs </w:t>
            </w:r>
            <w:r w:rsidR="00FE3C90">
              <w:rPr>
                <w:iCs/>
              </w:rPr>
              <w:t>*</w:t>
            </w:r>
            <w:r w:rsidR="00375867">
              <w:rPr>
                <w:iCs/>
              </w:rPr>
              <w:t>”</w:t>
            </w:r>
            <w:r w:rsidR="00135FE4">
              <w:t xml:space="preserve">. The inventory will use a stratified </w:t>
            </w:r>
            <w:r w:rsidR="006F5833">
              <w:t xml:space="preserve">systematic </w:t>
            </w:r>
            <w:r w:rsidR="00135FE4">
              <w:t>sample design and re-measure the same per</w:t>
            </w:r>
            <w:r w:rsidR="006F5833">
              <w:t xml:space="preserve">manent plots established in </w:t>
            </w:r>
            <w:r w:rsidR="00C23EBA">
              <w:t>2020</w:t>
            </w:r>
            <w:r w:rsidR="00135FE4">
              <w:t xml:space="preserve">, which targeted a precision level of +/- </w:t>
            </w:r>
            <w:r w:rsidR="00C23EBA">
              <w:t>7</w:t>
            </w:r>
            <w:r w:rsidR="00135FE4">
              <w:t xml:space="preserve">% of the mean </w:t>
            </w:r>
            <w:r w:rsidR="00EE5A8A">
              <w:t xml:space="preserve">live tree biomass </w:t>
            </w:r>
            <w:r w:rsidR="00135FE4">
              <w:t xml:space="preserve">with 90% confidence. </w:t>
            </w:r>
          </w:p>
        </w:tc>
      </w:tr>
      <w:tr w:rsidR="001443CB" w14:paraId="755CF68D" w14:textId="77777777" w:rsidTr="00661201">
        <w:tc>
          <w:tcPr>
            <w:tcW w:w="2992" w:type="dxa"/>
            <w:shd w:val="clear" w:color="auto" w:fill="C2D69B" w:themeFill="accent3" w:themeFillTint="99"/>
          </w:tcPr>
          <w:p w14:paraId="1A4B472A" w14:textId="77777777" w:rsidR="001443CB" w:rsidRDefault="001443CB" w:rsidP="00A23982">
            <w:pPr>
              <w:rPr>
                <w:i/>
              </w:rPr>
            </w:pPr>
            <w:r>
              <w:rPr>
                <w:i/>
              </w:rPr>
              <w:t>Notes</w:t>
            </w:r>
          </w:p>
        </w:tc>
        <w:tc>
          <w:tcPr>
            <w:tcW w:w="4788" w:type="dxa"/>
          </w:tcPr>
          <w:p w14:paraId="54F5D0ED" w14:textId="77777777" w:rsidR="001443CB" w:rsidRDefault="001443CB" w:rsidP="00AA7500">
            <w:pPr>
              <w:rPr>
                <w:i/>
              </w:rPr>
            </w:pPr>
          </w:p>
        </w:tc>
      </w:tr>
    </w:tbl>
    <w:p w14:paraId="5D4209FA" w14:textId="5B71665A" w:rsidR="00DE3F85" w:rsidRDefault="00DE3F85" w:rsidP="00DE3F85"/>
    <w:tbl>
      <w:tblPr>
        <w:tblStyle w:val="TableGrid"/>
        <w:tblW w:w="0" w:type="auto"/>
        <w:tblLook w:val="04A0" w:firstRow="1" w:lastRow="0" w:firstColumn="1" w:lastColumn="0" w:noHBand="0" w:noVBand="1"/>
      </w:tblPr>
      <w:tblGrid>
        <w:gridCol w:w="2992"/>
        <w:gridCol w:w="4788"/>
      </w:tblGrid>
      <w:tr w:rsidR="0074103D" w14:paraId="539DEA40" w14:textId="77777777" w:rsidTr="00D46E4E">
        <w:tc>
          <w:tcPr>
            <w:tcW w:w="2992" w:type="dxa"/>
            <w:shd w:val="clear" w:color="auto" w:fill="C2D69B" w:themeFill="accent3" w:themeFillTint="99"/>
          </w:tcPr>
          <w:p w14:paraId="519DA76B" w14:textId="77777777" w:rsidR="0074103D" w:rsidRDefault="0074103D" w:rsidP="00D46E4E">
            <w:pPr>
              <w:rPr>
                <w:i/>
              </w:rPr>
            </w:pPr>
            <w:r>
              <w:rPr>
                <w:i/>
              </w:rPr>
              <w:t>Data or Parameter Monitored</w:t>
            </w:r>
          </w:p>
        </w:tc>
        <w:tc>
          <w:tcPr>
            <w:tcW w:w="4788" w:type="dxa"/>
          </w:tcPr>
          <w:p w14:paraId="282CA40A" w14:textId="1BD58537" w:rsidR="0074103D" w:rsidRDefault="0074103D" w:rsidP="00D46E4E">
            <w:pPr>
              <w:rPr>
                <w:i/>
              </w:rPr>
            </w:pPr>
            <w:r w:rsidRPr="006B5952">
              <w:rPr>
                <w:rFonts w:ascii="Calibri" w:hAnsi="Calibri"/>
                <w:i/>
                <w:sz w:val="24"/>
                <w:szCs w:val="24"/>
              </w:rPr>
              <w:t>C</w:t>
            </w:r>
            <w:r w:rsidRPr="006B5952">
              <w:rPr>
                <w:rFonts w:ascii="Calibri" w:hAnsi="Calibri"/>
                <w:i/>
                <w:sz w:val="24"/>
                <w:szCs w:val="24"/>
                <w:vertAlign w:val="subscript"/>
              </w:rPr>
              <w:t>P,</w:t>
            </w:r>
            <w:r>
              <w:rPr>
                <w:rFonts w:ascii="Calibri" w:hAnsi="Calibri"/>
                <w:i/>
                <w:sz w:val="24"/>
                <w:szCs w:val="24"/>
                <w:vertAlign w:val="subscript"/>
              </w:rPr>
              <w:t>DEAD</w:t>
            </w:r>
            <w:r w:rsidRPr="006B5952">
              <w:rPr>
                <w:rFonts w:ascii="Calibri" w:hAnsi="Calibri"/>
                <w:i/>
                <w:sz w:val="24"/>
                <w:szCs w:val="24"/>
                <w:vertAlign w:val="subscript"/>
              </w:rPr>
              <w:t>,t</w:t>
            </w:r>
          </w:p>
        </w:tc>
      </w:tr>
      <w:tr w:rsidR="0074103D" w14:paraId="32B2EE65" w14:textId="77777777" w:rsidTr="00D46E4E">
        <w:tc>
          <w:tcPr>
            <w:tcW w:w="2992" w:type="dxa"/>
            <w:shd w:val="clear" w:color="auto" w:fill="C2D69B" w:themeFill="accent3" w:themeFillTint="99"/>
          </w:tcPr>
          <w:p w14:paraId="6C307230" w14:textId="77777777" w:rsidR="0074103D" w:rsidRDefault="0074103D" w:rsidP="00D46E4E">
            <w:pPr>
              <w:rPr>
                <w:i/>
              </w:rPr>
            </w:pPr>
            <w:r>
              <w:rPr>
                <w:i/>
              </w:rPr>
              <w:t>Unit of Measurement</w:t>
            </w:r>
          </w:p>
        </w:tc>
        <w:tc>
          <w:tcPr>
            <w:tcW w:w="4788" w:type="dxa"/>
          </w:tcPr>
          <w:p w14:paraId="19998C95" w14:textId="77777777" w:rsidR="0074103D" w:rsidRDefault="0074103D" w:rsidP="00D46E4E">
            <w:pPr>
              <w:rPr>
                <w:i/>
              </w:rPr>
            </w:pPr>
            <w:r w:rsidRPr="00891D11">
              <w:rPr>
                <w:rFonts w:ascii="Calibri" w:hAnsi="Calibri"/>
              </w:rPr>
              <w:t xml:space="preserve">metric </w:t>
            </w:r>
            <w:r>
              <w:rPr>
                <w:rFonts w:ascii="Calibri" w:hAnsi="Calibri"/>
              </w:rPr>
              <w:t>tons</w:t>
            </w:r>
            <w:r w:rsidRPr="00891D11">
              <w:rPr>
                <w:rFonts w:ascii="Calibri" w:hAnsi="Calibri"/>
              </w:rPr>
              <w:t xml:space="preserve"> CO</w:t>
            </w:r>
            <w:r w:rsidRPr="00891D11">
              <w:rPr>
                <w:rFonts w:ascii="Calibri" w:hAnsi="Calibri"/>
                <w:vertAlign w:val="subscript"/>
              </w:rPr>
              <w:t>2</w:t>
            </w:r>
          </w:p>
        </w:tc>
      </w:tr>
      <w:tr w:rsidR="0074103D" w14:paraId="4D2AE2D3" w14:textId="77777777" w:rsidTr="00D46E4E">
        <w:tc>
          <w:tcPr>
            <w:tcW w:w="2992" w:type="dxa"/>
            <w:shd w:val="clear" w:color="auto" w:fill="C2D69B" w:themeFill="accent3" w:themeFillTint="99"/>
          </w:tcPr>
          <w:p w14:paraId="1570705C" w14:textId="77777777" w:rsidR="0074103D" w:rsidRDefault="0074103D" w:rsidP="00D46E4E">
            <w:pPr>
              <w:rPr>
                <w:i/>
              </w:rPr>
            </w:pPr>
            <w:r>
              <w:rPr>
                <w:i/>
              </w:rPr>
              <w:t>Description</w:t>
            </w:r>
          </w:p>
        </w:tc>
        <w:tc>
          <w:tcPr>
            <w:tcW w:w="4788" w:type="dxa"/>
          </w:tcPr>
          <w:p w14:paraId="53A40EE9" w14:textId="77777777" w:rsidR="0074103D" w:rsidRDefault="0074103D" w:rsidP="00D46E4E">
            <w:pPr>
              <w:rPr>
                <w:rFonts w:ascii="Calibri" w:hAnsi="Calibri"/>
              </w:rPr>
            </w:pPr>
            <w:r>
              <w:rPr>
                <w:rFonts w:ascii="Calibri" w:hAnsi="Calibri"/>
              </w:rPr>
              <w:t>C</w:t>
            </w:r>
            <w:r w:rsidRPr="00891D11">
              <w:rPr>
                <w:rFonts w:ascii="Calibri" w:hAnsi="Calibri"/>
              </w:rPr>
              <w:t xml:space="preserve">arbon </w:t>
            </w:r>
            <w:r>
              <w:rPr>
                <w:rFonts w:ascii="Calibri" w:hAnsi="Calibri"/>
              </w:rPr>
              <w:t xml:space="preserve">stock </w:t>
            </w:r>
            <w:r w:rsidRPr="00891D11">
              <w:rPr>
                <w:rFonts w:ascii="Calibri" w:hAnsi="Calibri"/>
              </w:rPr>
              <w:t xml:space="preserve">stored in </w:t>
            </w:r>
            <w:r>
              <w:rPr>
                <w:rFonts w:ascii="Calibri" w:hAnsi="Calibri"/>
              </w:rPr>
              <w:t xml:space="preserve">dead wood </w:t>
            </w:r>
            <w:r w:rsidRPr="00891D11">
              <w:rPr>
                <w:rFonts w:ascii="Calibri" w:hAnsi="Calibri"/>
              </w:rPr>
              <w:t xml:space="preserve">at the beginning of the year </w:t>
            </w:r>
            <w:r w:rsidRPr="00891D11">
              <w:rPr>
                <w:rFonts w:ascii="Calibri" w:hAnsi="Calibri"/>
                <w:i/>
              </w:rPr>
              <w:t>t</w:t>
            </w:r>
            <w:r w:rsidRPr="00891D11">
              <w:rPr>
                <w:rFonts w:ascii="Calibri" w:hAnsi="Calibri"/>
              </w:rPr>
              <w:t xml:space="preserve"> </w:t>
            </w:r>
          </w:p>
          <w:p w14:paraId="3432216A" w14:textId="77777777" w:rsidR="00E81513" w:rsidRDefault="00E81513" w:rsidP="00D46E4E">
            <w:pPr>
              <w:rPr>
                <w:rFonts w:ascii="Calibri" w:hAnsi="Calibri"/>
              </w:rPr>
            </w:pPr>
          </w:p>
          <w:p w14:paraId="16E979E2" w14:textId="77777777" w:rsidR="00E81513" w:rsidRDefault="00E81513" w:rsidP="00417565">
            <w:pPr>
              <w:keepNext/>
              <w:spacing w:after="200" w:line="276" w:lineRule="auto"/>
            </w:pPr>
            <w:r>
              <w:t>Standing dead wood only (lying dead wood excluded from project accounting boundary).</w:t>
            </w:r>
          </w:p>
          <w:p w14:paraId="159340D5" w14:textId="7A6F324C" w:rsidR="00B63AA4" w:rsidRPr="00417565" w:rsidRDefault="00B63AA4" w:rsidP="00417565">
            <w:pPr>
              <w:keepNext/>
              <w:spacing w:after="200" w:line="276" w:lineRule="auto"/>
            </w:pPr>
          </w:p>
        </w:tc>
      </w:tr>
      <w:tr w:rsidR="0074103D" w14:paraId="776C489F" w14:textId="77777777" w:rsidTr="00D46E4E">
        <w:tc>
          <w:tcPr>
            <w:tcW w:w="2992" w:type="dxa"/>
            <w:shd w:val="clear" w:color="auto" w:fill="C2D69B" w:themeFill="accent3" w:themeFillTint="99"/>
          </w:tcPr>
          <w:p w14:paraId="014CA261" w14:textId="77777777" w:rsidR="0074103D" w:rsidRDefault="0074103D" w:rsidP="00D46E4E">
            <w:pPr>
              <w:rPr>
                <w:i/>
              </w:rPr>
            </w:pPr>
            <w:r>
              <w:rPr>
                <w:i/>
              </w:rPr>
              <w:t>Data Source</w:t>
            </w:r>
          </w:p>
        </w:tc>
        <w:tc>
          <w:tcPr>
            <w:tcW w:w="4788" w:type="dxa"/>
          </w:tcPr>
          <w:p w14:paraId="73FE2206" w14:textId="77777777" w:rsidR="0074103D" w:rsidRPr="006874F7" w:rsidRDefault="0074103D" w:rsidP="00D46E4E">
            <w:r>
              <w:t>Forest inventory.</w:t>
            </w:r>
          </w:p>
        </w:tc>
      </w:tr>
      <w:tr w:rsidR="0074103D" w14:paraId="15CC80BF" w14:textId="77777777" w:rsidTr="00D46E4E">
        <w:tc>
          <w:tcPr>
            <w:tcW w:w="2992" w:type="dxa"/>
            <w:shd w:val="clear" w:color="auto" w:fill="C2D69B" w:themeFill="accent3" w:themeFillTint="99"/>
          </w:tcPr>
          <w:p w14:paraId="102AFEAA" w14:textId="77777777" w:rsidR="0074103D" w:rsidRDefault="0074103D" w:rsidP="00D46E4E">
            <w:pPr>
              <w:rPr>
                <w:i/>
              </w:rPr>
            </w:pPr>
            <w:r>
              <w:rPr>
                <w:i/>
              </w:rPr>
              <w:t>Measurement Methodology</w:t>
            </w:r>
          </w:p>
        </w:tc>
        <w:tc>
          <w:tcPr>
            <w:tcW w:w="4788" w:type="dxa"/>
          </w:tcPr>
          <w:p w14:paraId="5C787FD2" w14:textId="78C98836" w:rsidR="0074103D" w:rsidRDefault="0074103D" w:rsidP="00D46E4E">
            <w:pPr>
              <w:rPr>
                <w:i/>
              </w:rPr>
            </w:pPr>
            <w:r>
              <w:t xml:space="preserve">To be consistent with </w:t>
            </w:r>
            <w:r>
              <w:rPr>
                <w:iCs/>
              </w:rPr>
              <w:t>field measurement protocols specified in “</w:t>
            </w:r>
            <w:r w:rsidR="00C23EBA" w:rsidRPr="00C23EBA">
              <w:rPr>
                <w:iCs/>
              </w:rPr>
              <w:t xml:space="preserve">FINAL UTIA forest C inventory SOPs </w:t>
            </w:r>
            <w:r w:rsidR="00FE3C90">
              <w:rPr>
                <w:iCs/>
              </w:rPr>
              <w:t>*</w:t>
            </w:r>
            <w:r>
              <w:rPr>
                <w:iCs/>
              </w:rPr>
              <w:t xml:space="preserve">”. </w:t>
            </w:r>
          </w:p>
        </w:tc>
      </w:tr>
      <w:tr w:rsidR="0074103D" w14:paraId="1414DCAD" w14:textId="77777777" w:rsidTr="00D46E4E">
        <w:tc>
          <w:tcPr>
            <w:tcW w:w="2992" w:type="dxa"/>
            <w:shd w:val="clear" w:color="auto" w:fill="C2D69B" w:themeFill="accent3" w:themeFillTint="99"/>
          </w:tcPr>
          <w:p w14:paraId="6173D09D" w14:textId="77777777" w:rsidR="0074103D" w:rsidRDefault="0074103D" w:rsidP="00D46E4E">
            <w:pPr>
              <w:rPr>
                <w:i/>
              </w:rPr>
            </w:pPr>
            <w:r>
              <w:rPr>
                <w:i/>
              </w:rPr>
              <w:t>Data Uncertainty</w:t>
            </w:r>
          </w:p>
        </w:tc>
        <w:tc>
          <w:tcPr>
            <w:tcW w:w="4788" w:type="dxa"/>
          </w:tcPr>
          <w:p w14:paraId="3316FDD6" w14:textId="77777777" w:rsidR="0074103D" w:rsidRPr="006874F7" w:rsidRDefault="0074103D" w:rsidP="00D46E4E">
            <w:r>
              <w:t>To be calculated as the mean +/- 90% confidence interval</w:t>
            </w:r>
          </w:p>
        </w:tc>
      </w:tr>
      <w:tr w:rsidR="0074103D" w14:paraId="17AAA07D" w14:textId="77777777" w:rsidTr="00D46E4E">
        <w:tc>
          <w:tcPr>
            <w:tcW w:w="2992" w:type="dxa"/>
            <w:shd w:val="clear" w:color="auto" w:fill="C2D69B" w:themeFill="accent3" w:themeFillTint="99"/>
          </w:tcPr>
          <w:p w14:paraId="7F629BD4" w14:textId="77777777" w:rsidR="0074103D" w:rsidRDefault="0074103D" w:rsidP="00D46E4E">
            <w:pPr>
              <w:rPr>
                <w:i/>
              </w:rPr>
            </w:pPr>
            <w:r>
              <w:rPr>
                <w:i/>
              </w:rPr>
              <w:t>Monitoring Frequency</w:t>
            </w:r>
          </w:p>
        </w:tc>
        <w:tc>
          <w:tcPr>
            <w:tcW w:w="4788" w:type="dxa"/>
          </w:tcPr>
          <w:p w14:paraId="0501230F" w14:textId="77777777" w:rsidR="0074103D" w:rsidRPr="006874F7" w:rsidRDefault="0074103D" w:rsidP="00D46E4E">
            <w:r>
              <w:t>Every 5 years or less, or at request for ERT issuance</w:t>
            </w:r>
          </w:p>
        </w:tc>
      </w:tr>
      <w:tr w:rsidR="0074103D" w14:paraId="2C0B3BAF" w14:textId="77777777" w:rsidTr="00D46E4E">
        <w:tc>
          <w:tcPr>
            <w:tcW w:w="2992" w:type="dxa"/>
            <w:shd w:val="clear" w:color="auto" w:fill="C2D69B" w:themeFill="accent3" w:themeFillTint="99"/>
          </w:tcPr>
          <w:p w14:paraId="07DB8B11" w14:textId="77777777" w:rsidR="0074103D" w:rsidRDefault="0074103D" w:rsidP="00D46E4E">
            <w:pPr>
              <w:rPr>
                <w:i/>
              </w:rPr>
            </w:pPr>
            <w:r>
              <w:rPr>
                <w:i/>
              </w:rPr>
              <w:t>Reporting Procedure</w:t>
            </w:r>
          </w:p>
        </w:tc>
        <w:tc>
          <w:tcPr>
            <w:tcW w:w="4788" w:type="dxa"/>
          </w:tcPr>
          <w:p w14:paraId="0C72D2BC" w14:textId="77777777" w:rsidR="0074103D" w:rsidRDefault="0074103D" w:rsidP="00D46E4E">
            <w:pPr>
              <w:rPr>
                <w:i/>
              </w:rPr>
            </w:pPr>
          </w:p>
        </w:tc>
      </w:tr>
      <w:tr w:rsidR="0074103D" w14:paraId="35789CEE" w14:textId="77777777" w:rsidTr="00D46E4E">
        <w:tc>
          <w:tcPr>
            <w:tcW w:w="2992" w:type="dxa"/>
            <w:shd w:val="clear" w:color="auto" w:fill="C2D69B" w:themeFill="accent3" w:themeFillTint="99"/>
          </w:tcPr>
          <w:p w14:paraId="45FD63B1" w14:textId="77777777" w:rsidR="0074103D" w:rsidRDefault="0074103D" w:rsidP="00D46E4E">
            <w:pPr>
              <w:rPr>
                <w:i/>
              </w:rPr>
            </w:pPr>
            <w:r>
              <w:rPr>
                <w:i/>
              </w:rPr>
              <w:t>QA/QC Procedure</w:t>
            </w:r>
          </w:p>
        </w:tc>
        <w:tc>
          <w:tcPr>
            <w:tcW w:w="4788" w:type="dxa"/>
          </w:tcPr>
          <w:p w14:paraId="24E66335" w14:textId="667B6F7C" w:rsidR="0074103D" w:rsidRDefault="0074103D" w:rsidP="00D46E4E">
            <w:pPr>
              <w:rPr>
                <w:i/>
              </w:rPr>
            </w:pPr>
            <w:r>
              <w:t xml:space="preserve">To be consistent with </w:t>
            </w:r>
            <w:r>
              <w:rPr>
                <w:iCs/>
              </w:rPr>
              <w:t>field measurement protocols specified in “</w:t>
            </w:r>
            <w:r w:rsidR="00C23EBA" w:rsidRPr="00C23EBA">
              <w:rPr>
                <w:iCs/>
              </w:rPr>
              <w:t xml:space="preserve">FINAL UTIA forest C inventory SOPs </w:t>
            </w:r>
            <w:r w:rsidR="00FE3C90">
              <w:rPr>
                <w:iCs/>
              </w:rPr>
              <w:t>*</w:t>
            </w:r>
            <w:r>
              <w:rPr>
                <w:iCs/>
              </w:rPr>
              <w:t>”</w:t>
            </w:r>
            <w:r>
              <w:t xml:space="preserve">. The inventory will use a stratified systematic sample design and re-measure the same permanent plots established in </w:t>
            </w:r>
            <w:r w:rsidR="00C23EBA">
              <w:t>2020</w:t>
            </w:r>
            <w:r>
              <w:t>, which targ</w:t>
            </w:r>
            <w:r w:rsidR="00C23EBA">
              <w:t>eted a precision level of +/- 7</w:t>
            </w:r>
            <w:r>
              <w:t xml:space="preserve">% of the mean live tree biomass with 90% confidence. </w:t>
            </w:r>
          </w:p>
        </w:tc>
      </w:tr>
      <w:tr w:rsidR="0074103D" w14:paraId="6F186192" w14:textId="77777777" w:rsidTr="00D46E4E">
        <w:tc>
          <w:tcPr>
            <w:tcW w:w="2992" w:type="dxa"/>
            <w:shd w:val="clear" w:color="auto" w:fill="C2D69B" w:themeFill="accent3" w:themeFillTint="99"/>
          </w:tcPr>
          <w:p w14:paraId="6F292489" w14:textId="77777777" w:rsidR="0074103D" w:rsidRDefault="0074103D" w:rsidP="00D46E4E">
            <w:pPr>
              <w:rPr>
                <w:i/>
              </w:rPr>
            </w:pPr>
            <w:r>
              <w:rPr>
                <w:i/>
              </w:rPr>
              <w:t>Notes</w:t>
            </w:r>
          </w:p>
        </w:tc>
        <w:tc>
          <w:tcPr>
            <w:tcW w:w="4788" w:type="dxa"/>
          </w:tcPr>
          <w:p w14:paraId="186B7FF4" w14:textId="77777777" w:rsidR="0074103D" w:rsidRDefault="0074103D" w:rsidP="00D46E4E">
            <w:pPr>
              <w:rPr>
                <w:i/>
              </w:rPr>
            </w:pPr>
          </w:p>
        </w:tc>
      </w:tr>
    </w:tbl>
    <w:p w14:paraId="28706B0E" w14:textId="101C60B3" w:rsidR="0074103D" w:rsidRDefault="0074103D" w:rsidP="00DE3F85"/>
    <w:p w14:paraId="2BB67710" w14:textId="583EC4F7" w:rsidR="0074103D" w:rsidRDefault="0074103D" w:rsidP="00DE3F85"/>
    <w:p w14:paraId="7B172ECA" w14:textId="77777777" w:rsidR="0074103D" w:rsidRDefault="0074103D" w:rsidP="00DE3F85"/>
    <w:tbl>
      <w:tblPr>
        <w:tblStyle w:val="TableGrid"/>
        <w:tblW w:w="0" w:type="auto"/>
        <w:tblLook w:val="04A0" w:firstRow="1" w:lastRow="0" w:firstColumn="1" w:lastColumn="0" w:noHBand="0" w:noVBand="1"/>
      </w:tblPr>
      <w:tblGrid>
        <w:gridCol w:w="2992"/>
        <w:gridCol w:w="4788"/>
      </w:tblGrid>
      <w:tr w:rsidR="002C3C0A" w14:paraId="388C4159" w14:textId="77777777" w:rsidTr="00896E65">
        <w:tc>
          <w:tcPr>
            <w:tcW w:w="2992" w:type="dxa"/>
            <w:shd w:val="clear" w:color="auto" w:fill="C2D69B" w:themeFill="accent3" w:themeFillTint="99"/>
          </w:tcPr>
          <w:p w14:paraId="468C9EBF" w14:textId="77777777" w:rsidR="002C3C0A" w:rsidRDefault="002C3C0A" w:rsidP="00896E65">
            <w:pPr>
              <w:rPr>
                <w:i/>
              </w:rPr>
            </w:pPr>
            <w:r>
              <w:rPr>
                <w:i/>
              </w:rPr>
              <w:t>Data or Parameter Monitored</w:t>
            </w:r>
          </w:p>
        </w:tc>
        <w:tc>
          <w:tcPr>
            <w:tcW w:w="4788" w:type="dxa"/>
          </w:tcPr>
          <w:p w14:paraId="1BB2E1C7" w14:textId="1E49AA28" w:rsidR="002C3C0A" w:rsidRPr="008F0580" w:rsidRDefault="00F4584A" w:rsidP="00896E65">
            <w:pPr>
              <w:spacing w:after="200" w:line="276" w:lineRule="auto"/>
            </w:pPr>
            <w:r>
              <w:t>Project area</w:t>
            </w:r>
          </w:p>
        </w:tc>
      </w:tr>
      <w:tr w:rsidR="002C3C0A" w14:paraId="0AC97DC0" w14:textId="77777777" w:rsidTr="00896E65">
        <w:tc>
          <w:tcPr>
            <w:tcW w:w="2992" w:type="dxa"/>
            <w:shd w:val="clear" w:color="auto" w:fill="C2D69B" w:themeFill="accent3" w:themeFillTint="99"/>
          </w:tcPr>
          <w:p w14:paraId="77B3B3B1" w14:textId="77777777" w:rsidR="002C3C0A" w:rsidRDefault="002C3C0A" w:rsidP="00896E65">
            <w:pPr>
              <w:rPr>
                <w:i/>
              </w:rPr>
            </w:pPr>
            <w:r>
              <w:rPr>
                <w:i/>
              </w:rPr>
              <w:t>Unit of Measurement</w:t>
            </w:r>
          </w:p>
        </w:tc>
        <w:tc>
          <w:tcPr>
            <w:tcW w:w="4788" w:type="dxa"/>
          </w:tcPr>
          <w:p w14:paraId="44018EA1" w14:textId="0B118FE2" w:rsidR="002C3C0A" w:rsidRPr="008F0580" w:rsidRDefault="00F4584A" w:rsidP="00896E65">
            <w:pPr>
              <w:spacing w:after="200" w:line="276" w:lineRule="auto"/>
            </w:pPr>
            <w:r>
              <w:t>Acres</w:t>
            </w:r>
          </w:p>
        </w:tc>
      </w:tr>
      <w:tr w:rsidR="002C3C0A" w14:paraId="382CFB08" w14:textId="77777777" w:rsidTr="00896E65">
        <w:tc>
          <w:tcPr>
            <w:tcW w:w="2992" w:type="dxa"/>
            <w:shd w:val="clear" w:color="auto" w:fill="C2D69B" w:themeFill="accent3" w:themeFillTint="99"/>
          </w:tcPr>
          <w:p w14:paraId="6EE9D842" w14:textId="77777777" w:rsidR="002C3C0A" w:rsidRDefault="002C3C0A" w:rsidP="00896E65">
            <w:pPr>
              <w:rPr>
                <w:i/>
              </w:rPr>
            </w:pPr>
            <w:r>
              <w:rPr>
                <w:i/>
              </w:rPr>
              <w:t>Description</w:t>
            </w:r>
          </w:p>
        </w:tc>
        <w:tc>
          <w:tcPr>
            <w:tcW w:w="4788" w:type="dxa"/>
          </w:tcPr>
          <w:p w14:paraId="1C1A4DF2" w14:textId="3BC9924A" w:rsidR="002C3C0A" w:rsidRPr="008F0580" w:rsidRDefault="00F4584A" w:rsidP="00896E65">
            <w:pPr>
              <w:spacing w:after="200" w:line="276" w:lineRule="auto"/>
            </w:pPr>
            <w:r>
              <w:t>Area of IFM project</w:t>
            </w:r>
          </w:p>
        </w:tc>
      </w:tr>
      <w:tr w:rsidR="002C3C0A" w14:paraId="319C8A59" w14:textId="77777777" w:rsidTr="00896E65">
        <w:tc>
          <w:tcPr>
            <w:tcW w:w="2992" w:type="dxa"/>
            <w:shd w:val="clear" w:color="auto" w:fill="C2D69B" w:themeFill="accent3" w:themeFillTint="99"/>
          </w:tcPr>
          <w:p w14:paraId="30A72BA3" w14:textId="77777777" w:rsidR="002C3C0A" w:rsidRDefault="002C3C0A" w:rsidP="00896E65">
            <w:pPr>
              <w:rPr>
                <w:i/>
              </w:rPr>
            </w:pPr>
            <w:r>
              <w:rPr>
                <w:i/>
              </w:rPr>
              <w:t>Data Source</w:t>
            </w:r>
          </w:p>
        </w:tc>
        <w:tc>
          <w:tcPr>
            <w:tcW w:w="4788" w:type="dxa"/>
          </w:tcPr>
          <w:p w14:paraId="1841DBDE" w14:textId="45DA75F8" w:rsidR="002C3C0A" w:rsidRPr="008F0580" w:rsidRDefault="002D1C5D" w:rsidP="00896E65">
            <w:pPr>
              <w:spacing w:after="200" w:line="276" w:lineRule="auto"/>
            </w:pPr>
            <w:r>
              <w:t>Validated project GHG Plan</w:t>
            </w:r>
          </w:p>
        </w:tc>
      </w:tr>
      <w:tr w:rsidR="002C3C0A" w14:paraId="04FE57F3" w14:textId="77777777" w:rsidTr="00896E65">
        <w:tc>
          <w:tcPr>
            <w:tcW w:w="2992" w:type="dxa"/>
            <w:shd w:val="clear" w:color="auto" w:fill="C2D69B" w:themeFill="accent3" w:themeFillTint="99"/>
          </w:tcPr>
          <w:p w14:paraId="5D7442BC" w14:textId="77777777" w:rsidR="002C3C0A" w:rsidRDefault="002C3C0A" w:rsidP="00896E65">
            <w:pPr>
              <w:rPr>
                <w:i/>
              </w:rPr>
            </w:pPr>
            <w:r>
              <w:rPr>
                <w:i/>
              </w:rPr>
              <w:t>Measurement Methodology</w:t>
            </w:r>
          </w:p>
        </w:tc>
        <w:tc>
          <w:tcPr>
            <w:tcW w:w="4788" w:type="dxa"/>
          </w:tcPr>
          <w:p w14:paraId="4D32C69B" w14:textId="77777777" w:rsidR="002C3C0A" w:rsidRDefault="002D1C5D" w:rsidP="00896E65">
            <w:pPr>
              <w:spacing w:after="200" w:line="276" w:lineRule="auto"/>
            </w:pPr>
            <w:r>
              <w:t>Not re-measured – area remains fixed through crediting period.</w:t>
            </w:r>
          </w:p>
          <w:p w14:paraId="50310E4C" w14:textId="6899F926" w:rsidR="00E23705" w:rsidRPr="00F4584A" w:rsidRDefault="00FE34B0" w:rsidP="00E23705">
            <w:pPr>
              <w:spacing w:after="200" w:line="276" w:lineRule="auto"/>
            </w:pPr>
            <w:r>
              <w:t>Determination of p</w:t>
            </w:r>
            <w:r w:rsidR="00E23705">
              <w:t xml:space="preserve">roject area </w:t>
            </w:r>
            <w:r>
              <w:t xml:space="preserve">documented in Section B3 of the </w:t>
            </w:r>
            <w:r w:rsidR="0002160C">
              <w:t xml:space="preserve">project </w:t>
            </w:r>
            <w:r>
              <w:t>GHG Plan.</w:t>
            </w:r>
            <w:r w:rsidR="00E23705">
              <w:t xml:space="preserve"> </w:t>
            </w:r>
          </w:p>
        </w:tc>
      </w:tr>
      <w:tr w:rsidR="002C3C0A" w14:paraId="12028104" w14:textId="77777777" w:rsidTr="00896E65">
        <w:tc>
          <w:tcPr>
            <w:tcW w:w="2992" w:type="dxa"/>
            <w:shd w:val="clear" w:color="auto" w:fill="C2D69B" w:themeFill="accent3" w:themeFillTint="99"/>
          </w:tcPr>
          <w:p w14:paraId="2C80ACB1" w14:textId="77777777" w:rsidR="002C3C0A" w:rsidRDefault="002C3C0A" w:rsidP="00896E65">
            <w:pPr>
              <w:rPr>
                <w:i/>
              </w:rPr>
            </w:pPr>
            <w:r>
              <w:rPr>
                <w:i/>
              </w:rPr>
              <w:t>Data Uncertainty</w:t>
            </w:r>
          </w:p>
        </w:tc>
        <w:tc>
          <w:tcPr>
            <w:tcW w:w="4788" w:type="dxa"/>
          </w:tcPr>
          <w:p w14:paraId="5F6DCA9B" w14:textId="0D9A0212" w:rsidR="002C3C0A" w:rsidRPr="008F0580" w:rsidRDefault="002D1C5D" w:rsidP="00896E65">
            <w:pPr>
              <w:spacing w:after="200" w:line="276" w:lineRule="auto"/>
            </w:pPr>
            <w:r>
              <w:t>None</w:t>
            </w:r>
          </w:p>
        </w:tc>
      </w:tr>
      <w:tr w:rsidR="002C3C0A" w14:paraId="2412A7BF" w14:textId="77777777" w:rsidTr="00896E65">
        <w:tc>
          <w:tcPr>
            <w:tcW w:w="2992" w:type="dxa"/>
            <w:shd w:val="clear" w:color="auto" w:fill="C2D69B" w:themeFill="accent3" w:themeFillTint="99"/>
          </w:tcPr>
          <w:p w14:paraId="051C2EBA" w14:textId="77777777" w:rsidR="002C3C0A" w:rsidRDefault="002C3C0A" w:rsidP="00896E65">
            <w:pPr>
              <w:rPr>
                <w:i/>
              </w:rPr>
            </w:pPr>
            <w:r>
              <w:rPr>
                <w:i/>
              </w:rPr>
              <w:t>Monitoring Frequency</w:t>
            </w:r>
          </w:p>
        </w:tc>
        <w:tc>
          <w:tcPr>
            <w:tcW w:w="4788" w:type="dxa"/>
          </w:tcPr>
          <w:p w14:paraId="253958DC" w14:textId="684E2DB9" w:rsidR="002C3C0A" w:rsidRPr="00F4584A" w:rsidRDefault="002D1C5D" w:rsidP="00896E65">
            <w:r>
              <w:t>Not monitored.</w:t>
            </w:r>
          </w:p>
        </w:tc>
      </w:tr>
      <w:tr w:rsidR="002C3C0A" w14:paraId="4E8E486D" w14:textId="77777777" w:rsidTr="00896E65">
        <w:tc>
          <w:tcPr>
            <w:tcW w:w="2992" w:type="dxa"/>
            <w:shd w:val="clear" w:color="auto" w:fill="C2D69B" w:themeFill="accent3" w:themeFillTint="99"/>
          </w:tcPr>
          <w:p w14:paraId="7ABA0A39" w14:textId="77777777" w:rsidR="002C3C0A" w:rsidRDefault="002C3C0A" w:rsidP="00896E65">
            <w:pPr>
              <w:rPr>
                <w:i/>
              </w:rPr>
            </w:pPr>
            <w:r>
              <w:rPr>
                <w:i/>
              </w:rPr>
              <w:t>Reporting Procedure</w:t>
            </w:r>
          </w:p>
        </w:tc>
        <w:tc>
          <w:tcPr>
            <w:tcW w:w="4788" w:type="dxa"/>
          </w:tcPr>
          <w:p w14:paraId="4E27239E" w14:textId="163024B4" w:rsidR="002C3C0A" w:rsidRPr="00F4584A" w:rsidRDefault="00590BC7" w:rsidP="00896E65">
            <w:r>
              <w:t>Reported in GHG Plan and all monitoring reports.</w:t>
            </w:r>
          </w:p>
        </w:tc>
      </w:tr>
      <w:tr w:rsidR="002C3C0A" w14:paraId="6865B65E" w14:textId="77777777" w:rsidTr="00896E65">
        <w:tc>
          <w:tcPr>
            <w:tcW w:w="2992" w:type="dxa"/>
            <w:shd w:val="clear" w:color="auto" w:fill="C2D69B" w:themeFill="accent3" w:themeFillTint="99"/>
          </w:tcPr>
          <w:p w14:paraId="437D6A3E" w14:textId="77777777" w:rsidR="002C3C0A" w:rsidRDefault="002C3C0A" w:rsidP="00896E65">
            <w:pPr>
              <w:rPr>
                <w:i/>
              </w:rPr>
            </w:pPr>
            <w:r>
              <w:rPr>
                <w:i/>
              </w:rPr>
              <w:t>QA/QC Procedure</w:t>
            </w:r>
          </w:p>
        </w:tc>
        <w:tc>
          <w:tcPr>
            <w:tcW w:w="4788" w:type="dxa"/>
          </w:tcPr>
          <w:p w14:paraId="6AE284E6" w14:textId="14ED6C40" w:rsidR="00376720" w:rsidRPr="00D3118F" w:rsidRDefault="00376720" w:rsidP="00D3118F">
            <w:r w:rsidRPr="00D3118F">
              <w:t xml:space="preserve"> </w:t>
            </w:r>
            <w:r>
              <w:t xml:space="preserve">Project area boundary truthed </w:t>
            </w:r>
            <w:r w:rsidR="004A59C1">
              <w:t xml:space="preserve">with </w:t>
            </w:r>
            <w:r>
              <w:t xml:space="preserve">aerial imagery and </w:t>
            </w:r>
            <w:r w:rsidRPr="00D3118F">
              <w:t>on-site inspection</w:t>
            </w:r>
            <w:r w:rsidR="006946C3">
              <w:t>s</w:t>
            </w:r>
            <w:r w:rsidRPr="00D3118F">
              <w:t xml:space="preserve"> with a GPS.</w:t>
            </w:r>
          </w:p>
          <w:p w14:paraId="7355C901" w14:textId="77777777" w:rsidR="00376720" w:rsidRDefault="00376720" w:rsidP="00D3118F"/>
          <w:p w14:paraId="3D61B4E6" w14:textId="2DA75B20" w:rsidR="002C3C0A" w:rsidRPr="008F0580" w:rsidRDefault="00376720" w:rsidP="00D3118F">
            <w:r>
              <w:t xml:space="preserve">Plat map and </w:t>
            </w:r>
            <w:r w:rsidRPr="00D3118F">
              <w:t xml:space="preserve">GIS datasets used </w:t>
            </w:r>
            <w:r>
              <w:t xml:space="preserve">were </w:t>
            </w:r>
            <w:r w:rsidRPr="00D3118F">
              <w:t>geo-registered referencing corner points, clear landmarks or other intersection points.</w:t>
            </w:r>
          </w:p>
        </w:tc>
      </w:tr>
      <w:tr w:rsidR="002C3C0A" w14:paraId="3EFFC136" w14:textId="77777777" w:rsidTr="00896E65">
        <w:tc>
          <w:tcPr>
            <w:tcW w:w="2992" w:type="dxa"/>
            <w:shd w:val="clear" w:color="auto" w:fill="C2D69B" w:themeFill="accent3" w:themeFillTint="99"/>
          </w:tcPr>
          <w:p w14:paraId="211213AF" w14:textId="77777777" w:rsidR="002C3C0A" w:rsidRDefault="002C3C0A" w:rsidP="00896E65">
            <w:pPr>
              <w:rPr>
                <w:i/>
              </w:rPr>
            </w:pPr>
            <w:r>
              <w:rPr>
                <w:i/>
              </w:rPr>
              <w:t>Notes</w:t>
            </w:r>
          </w:p>
        </w:tc>
        <w:tc>
          <w:tcPr>
            <w:tcW w:w="4788" w:type="dxa"/>
          </w:tcPr>
          <w:p w14:paraId="4D89EAC1" w14:textId="77777777" w:rsidR="002C3C0A" w:rsidRPr="008F0580" w:rsidRDefault="002C3C0A" w:rsidP="00896E65">
            <w:pPr>
              <w:spacing w:after="200" w:line="276" w:lineRule="auto"/>
            </w:pPr>
          </w:p>
        </w:tc>
      </w:tr>
    </w:tbl>
    <w:p w14:paraId="3F7FF243" w14:textId="77777777" w:rsidR="00B55B0E" w:rsidRPr="008F0580" w:rsidRDefault="00B55B0E" w:rsidP="00DE3F85"/>
    <w:tbl>
      <w:tblPr>
        <w:tblStyle w:val="TableGrid"/>
        <w:tblW w:w="0" w:type="auto"/>
        <w:tblLook w:val="04A0" w:firstRow="1" w:lastRow="0" w:firstColumn="1" w:lastColumn="0" w:noHBand="0" w:noVBand="1"/>
      </w:tblPr>
      <w:tblGrid>
        <w:gridCol w:w="2992"/>
        <w:gridCol w:w="4788"/>
      </w:tblGrid>
      <w:tr w:rsidR="002C3C0A" w14:paraId="3CE49602" w14:textId="77777777" w:rsidTr="00896E65">
        <w:tc>
          <w:tcPr>
            <w:tcW w:w="2992" w:type="dxa"/>
            <w:shd w:val="clear" w:color="auto" w:fill="C2D69B" w:themeFill="accent3" w:themeFillTint="99"/>
          </w:tcPr>
          <w:p w14:paraId="3E80EF67" w14:textId="77777777" w:rsidR="002C3C0A" w:rsidRDefault="002C3C0A" w:rsidP="00896E65">
            <w:pPr>
              <w:rPr>
                <w:i/>
              </w:rPr>
            </w:pPr>
            <w:r>
              <w:rPr>
                <w:i/>
              </w:rPr>
              <w:t>Data or Parameter Monitored</w:t>
            </w:r>
          </w:p>
        </w:tc>
        <w:tc>
          <w:tcPr>
            <w:tcW w:w="4788" w:type="dxa"/>
          </w:tcPr>
          <w:p w14:paraId="736D22FF" w14:textId="1B7E3403" w:rsidR="002C3C0A" w:rsidRPr="008F0580" w:rsidRDefault="009847D6" w:rsidP="00896E65">
            <w:pPr>
              <w:spacing w:after="200" w:line="276" w:lineRule="auto"/>
            </w:pPr>
            <w:r>
              <w:t>Sample plot area</w:t>
            </w:r>
          </w:p>
        </w:tc>
      </w:tr>
      <w:tr w:rsidR="002C3C0A" w14:paraId="7092A5CA" w14:textId="77777777" w:rsidTr="00896E65">
        <w:tc>
          <w:tcPr>
            <w:tcW w:w="2992" w:type="dxa"/>
            <w:shd w:val="clear" w:color="auto" w:fill="C2D69B" w:themeFill="accent3" w:themeFillTint="99"/>
          </w:tcPr>
          <w:p w14:paraId="285BB0DB" w14:textId="77777777" w:rsidR="002C3C0A" w:rsidRDefault="002C3C0A" w:rsidP="00896E65">
            <w:pPr>
              <w:rPr>
                <w:i/>
              </w:rPr>
            </w:pPr>
            <w:r>
              <w:rPr>
                <w:i/>
              </w:rPr>
              <w:t>Unit of Measurement</w:t>
            </w:r>
          </w:p>
        </w:tc>
        <w:tc>
          <w:tcPr>
            <w:tcW w:w="4788" w:type="dxa"/>
          </w:tcPr>
          <w:p w14:paraId="609C8B23" w14:textId="606AF217" w:rsidR="002C3C0A" w:rsidRPr="008F0580" w:rsidRDefault="009847D6" w:rsidP="00896E65">
            <w:pPr>
              <w:spacing w:after="200" w:line="276" w:lineRule="auto"/>
            </w:pPr>
            <w:r>
              <w:t>Acres</w:t>
            </w:r>
            <w:r w:rsidR="00A126B7">
              <w:t xml:space="preserve"> (variable</w:t>
            </w:r>
            <w:r w:rsidR="00B0135C">
              <w:t>, nested</w:t>
            </w:r>
            <w:r w:rsidR="00A126B7">
              <w:t>)</w:t>
            </w:r>
          </w:p>
        </w:tc>
      </w:tr>
      <w:tr w:rsidR="002C3C0A" w14:paraId="141EA7E7" w14:textId="77777777" w:rsidTr="00896E65">
        <w:tc>
          <w:tcPr>
            <w:tcW w:w="2992" w:type="dxa"/>
            <w:shd w:val="clear" w:color="auto" w:fill="C2D69B" w:themeFill="accent3" w:themeFillTint="99"/>
          </w:tcPr>
          <w:p w14:paraId="44EF1BB0" w14:textId="77777777" w:rsidR="002C3C0A" w:rsidRDefault="002C3C0A" w:rsidP="00896E65">
            <w:pPr>
              <w:rPr>
                <w:i/>
              </w:rPr>
            </w:pPr>
            <w:r>
              <w:rPr>
                <w:i/>
              </w:rPr>
              <w:t>Description</w:t>
            </w:r>
          </w:p>
        </w:tc>
        <w:tc>
          <w:tcPr>
            <w:tcW w:w="4788" w:type="dxa"/>
          </w:tcPr>
          <w:p w14:paraId="2405F898" w14:textId="15EBF459" w:rsidR="002C3C0A" w:rsidRPr="008F0580" w:rsidRDefault="00A126B7" w:rsidP="009847D6">
            <w:pPr>
              <w:spacing w:after="200" w:line="276" w:lineRule="auto"/>
            </w:pPr>
            <w:r>
              <w:t>A</w:t>
            </w:r>
            <w:r w:rsidR="009847D6">
              <w:t xml:space="preserve">rea </w:t>
            </w:r>
            <w:r>
              <w:t>(variable</w:t>
            </w:r>
            <w:r w:rsidR="00B0135C">
              <w:t>, nested</w:t>
            </w:r>
            <w:r>
              <w:t>) of forest inventory sample unit</w:t>
            </w:r>
          </w:p>
        </w:tc>
      </w:tr>
      <w:tr w:rsidR="002C3C0A" w14:paraId="0373D277" w14:textId="77777777" w:rsidTr="00896E65">
        <w:tc>
          <w:tcPr>
            <w:tcW w:w="2992" w:type="dxa"/>
            <w:shd w:val="clear" w:color="auto" w:fill="C2D69B" w:themeFill="accent3" w:themeFillTint="99"/>
          </w:tcPr>
          <w:p w14:paraId="771C03BC" w14:textId="77777777" w:rsidR="002C3C0A" w:rsidRDefault="002C3C0A" w:rsidP="00896E65">
            <w:pPr>
              <w:rPr>
                <w:i/>
              </w:rPr>
            </w:pPr>
            <w:r>
              <w:rPr>
                <w:i/>
              </w:rPr>
              <w:t>Data Source</w:t>
            </w:r>
          </w:p>
        </w:tc>
        <w:tc>
          <w:tcPr>
            <w:tcW w:w="4788" w:type="dxa"/>
          </w:tcPr>
          <w:p w14:paraId="08C833B1" w14:textId="2870D4C5" w:rsidR="002C3C0A" w:rsidRPr="008F0580" w:rsidRDefault="0002160C" w:rsidP="00896E65">
            <w:pPr>
              <w:spacing w:after="200" w:line="276" w:lineRule="auto"/>
            </w:pPr>
            <w:r>
              <w:rPr>
                <w:iCs/>
              </w:rPr>
              <w:t>Standard Operating Procedures document “</w:t>
            </w:r>
            <w:r w:rsidR="003C76C1" w:rsidRPr="003C76C1">
              <w:rPr>
                <w:iCs/>
              </w:rPr>
              <w:t xml:space="preserve">FINAL UTIA forest C inventory SOPs </w:t>
            </w:r>
            <w:r w:rsidR="00FE3C90">
              <w:rPr>
                <w:iCs/>
              </w:rPr>
              <w:t>*</w:t>
            </w:r>
            <w:r>
              <w:rPr>
                <w:iCs/>
              </w:rPr>
              <w:t>”.</w:t>
            </w:r>
          </w:p>
        </w:tc>
      </w:tr>
      <w:tr w:rsidR="002C3C0A" w14:paraId="186A6758" w14:textId="77777777" w:rsidTr="00896E65">
        <w:tc>
          <w:tcPr>
            <w:tcW w:w="2992" w:type="dxa"/>
            <w:shd w:val="clear" w:color="auto" w:fill="C2D69B" w:themeFill="accent3" w:themeFillTint="99"/>
          </w:tcPr>
          <w:p w14:paraId="0D5DC573" w14:textId="77777777" w:rsidR="002C3C0A" w:rsidRDefault="002C3C0A" w:rsidP="00896E65">
            <w:pPr>
              <w:rPr>
                <w:i/>
              </w:rPr>
            </w:pPr>
            <w:r>
              <w:rPr>
                <w:i/>
              </w:rPr>
              <w:t>Measurement Methodology</w:t>
            </w:r>
          </w:p>
        </w:tc>
        <w:tc>
          <w:tcPr>
            <w:tcW w:w="4788" w:type="dxa"/>
          </w:tcPr>
          <w:p w14:paraId="616C7251" w14:textId="0B9F528D" w:rsidR="002C3C0A" w:rsidRPr="00F271CD" w:rsidRDefault="009847D6" w:rsidP="009847D6">
            <w:pPr>
              <w:spacing w:after="200" w:line="276" w:lineRule="auto"/>
            </w:pPr>
            <w:r>
              <w:t xml:space="preserve">As per standard operating procedures detailed in </w:t>
            </w:r>
            <w:r w:rsidR="00A126B7">
              <w:rPr>
                <w:iCs/>
              </w:rPr>
              <w:t>“</w:t>
            </w:r>
            <w:r w:rsidR="003C76C1" w:rsidRPr="003C76C1">
              <w:rPr>
                <w:iCs/>
              </w:rPr>
              <w:t xml:space="preserve">FINAL UTIA forest C inventory SOPs </w:t>
            </w:r>
            <w:r w:rsidR="00FE3C90">
              <w:rPr>
                <w:iCs/>
              </w:rPr>
              <w:t>*</w:t>
            </w:r>
            <w:r w:rsidR="00A126B7">
              <w:rPr>
                <w:iCs/>
              </w:rPr>
              <w:t xml:space="preserve">”, employing </w:t>
            </w:r>
            <w:r w:rsidR="00B0135C">
              <w:rPr>
                <w:iCs/>
              </w:rPr>
              <w:t>nested fixed-</w:t>
            </w:r>
            <w:r w:rsidR="00A126B7">
              <w:rPr>
                <w:iCs/>
              </w:rPr>
              <w:t>radius plots.</w:t>
            </w:r>
            <w:r>
              <w:t xml:space="preserve"> </w:t>
            </w:r>
            <w:r w:rsidR="00A16391">
              <w:rPr>
                <w:szCs w:val="21"/>
              </w:rPr>
              <w:t>Plot centers are permanently marked in the field.</w:t>
            </w:r>
          </w:p>
        </w:tc>
      </w:tr>
      <w:tr w:rsidR="002C3C0A" w14:paraId="4146B022" w14:textId="77777777" w:rsidTr="00896E65">
        <w:tc>
          <w:tcPr>
            <w:tcW w:w="2992" w:type="dxa"/>
            <w:shd w:val="clear" w:color="auto" w:fill="C2D69B" w:themeFill="accent3" w:themeFillTint="99"/>
          </w:tcPr>
          <w:p w14:paraId="450B4D3F" w14:textId="77777777" w:rsidR="002C3C0A" w:rsidRDefault="002C3C0A" w:rsidP="00896E65">
            <w:pPr>
              <w:rPr>
                <w:i/>
              </w:rPr>
            </w:pPr>
            <w:r>
              <w:rPr>
                <w:i/>
              </w:rPr>
              <w:t>Data Uncertainty</w:t>
            </w:r>
          </w:p>
        </w:tc>
        <w:tc>
          <w:tcPr>
            <w:tcW w:w="4788" w:type="dxa"/>
          </w:tcPr>
          <w:p w14:paraId="5D9F3F27" w14:textId="0FCB1989" w:rsidR="002C3C0A" w:rsidRPr="008F0580" w:rsidRDefault="00A16391" w:rsidP="00896E65">
            <w:pPr>
              <w:spacing w:after="200" w:line="276" w:lineRule="auto"/>
            </w:pPr>
            <w:r>
              <w:t>None</w:t>
            </w:r>
          </w:p>
        </w:tc>
      </w:tr>
      <w:tr w:rsidR="002C3C0A" w14:paraId="53871E0A" w14:textId="77777777" w:rsidTr="00896E65">
        <w:tc>
          <w:tcPr>
            <w:tcW w:w="2992" w:type="dxa"/>
            <w:shd w:val="clear" w:color="auto" w:fill="C2D69B" w:themeFill="accent3" w:themeFillTint="99"/>
          </w:tcPr>
          <w:p w14:paraId="4FDFD095" w14:textId="77777777" w:rsidR="002C3C0A" w:rsidRDefault="002C3C0A" w:rsidP="00896E65">
            <w:pPr>
              <w:rPr>
                <w:i/>
              </w:rPr>
            </w:pPr>
            <w:r>
              <w:rPr>
                <w:i/>
              </w:rPr>
              <w:t>Monitoring Frequency</w:t>
            </w:r>
          </w:p>
        </w:tc>
        <w:tc>
          <w:tcPr>
            <w:tcW w:w="4788" w:type="dxa"/>
          </w:tcPr>
          <w:p w14:paraId="5851C1DD" w14:textId="19E8048A" w:rsidR="002C3C0A" w:rsidRPr="00F271CD" w:rsidRDefault="00A16391" w:rsidP="00896E65">
            <w:r>
              <w:t>Sample plot area is not monitored. Sample plots are to be re-measured every 5 years or less.</w:t>
            </w:r>
          </w:p>
        </w:tc>
      </w:tr>
      <w:tr w:rsidR="002C3C0A" w14:paraId="722AED5A" w14:textId="77777777" w:rsidTr="00896E65">
        <w:tc>
          <w:tcPr>
            <w:tcW w:w="2992" w:type="dxa"/>
            <w:shd w:val="clear" w:color="auto" w:fill="C2D69B" w:themeFill="accent3" w:themeFillTint="99"/>
          </w:tcPr>
          <w:p w14:paraId="01984EE9" w14:textId="77777777" w:rsidR="002C3C0A" w:rsidRDefault="002C3C0A" w:rsidP="00896E65">
            <w:pPr>
              <w:rPr>
                <w:i/>
              </w:rPr>
            </w:pPr>
            <w:r>
              <w:rPr>
                <w:i/>
              </w:rPr>
              <w:t>Reporting Procedure</w:t>
            </w:r>
          </w:p>
        </w:tc>
        <w:tc>
          <w:tcPr>
            <w:tcW w:w="4788" w:type="dxa"/>
          </w:tcPr>
          <w:p w14:paraId="4B17FBFD" w14:textId="0C7C01F1" w:rsidR="002C3C0A" w:rsidRPr="00F271CD" w:rsidRDefault="00A16391" w:rsidP="003E3B87">
            <w:r>
              <w:t xml:space="preserve">Reported in project monitoring </w:t>
            </w:r>
            <w:r w:rsidR="003E3B87">
              <w:t>reports</w:t>
            </w:r>
            <w:r>
              <w:t>.</w:t>
            </w:r>
          </w:p>
        </w:tc>
      </w:tr>
      <w:tr w:rsidR="002C3C0A" w14:paraId="2D8B93F8" w14:textId="77777777" w:rsidTr="00896E65">
        <w:tc>
          <w:tcPr>
            <w:tcW w:w="2992" w:type="dxa"/>
            <w:shd w:val="clear" w:color="auto" w:fill="C2D69B" w:themeFill="accent3" w:themeFillTint="99"/>
          </w:tcPr>
          <w:p w14:paraId="73E09632" w14:textId="77777777" w:rsidR="002C3C0A" w:rsidRDefault="002C3C0A" w:rsidP="00896E65">
            <w:pPr>
              <w:rPr>
                <w:i/>
              </w:rPr>
            </w:pPr>
            <w:r>
              <w:rPr>
                <w:i/>
              </w:rPr>
              <w:t>QA/QC Procedure</w:t>
            </w:r>
          </w:p>
        </w:tc>
        <w:tc>
          <w:tcPr>
            <w:tcW w:w="4788" w:type="dxa"/>
          </w:tcPr>
          <w:p w14:paraId="09EEE9CA" w14:textId="7A2E9B8C" w:rsidR="002C3C0A" w:rsidRPr="008F0580" w:rsidRDefault="00A16391" w:rsidP="00A16391">
            <w:pPr>
              <w:spacing w:after="200" w:line="276" w:lineRule="auto"/>
            </w:pPr>
            <w:r>
              <w:t xml:space="preserve">As per detailed quality control procedures outlined in </w:t>
            </w:r>
            <w:r w:rsidR="005F2FFD">
              <w:rPr>
                <w:iCs/>
              </w:rPr>
              <w:t>“</w:t>
            </w:r>
            <w:r w:rsidR="003C76C1" w:rsidRPr="003C76C1">
              <w:rPr>
                <w:iCs/>
              </w:rPr>
              <w:t xml:space="preserve">FINAL UTIA forest C inventory SOPs </w:t>
            </w:r>
            <w:r w:rsidR="00FE3C90">
              <w:rPr>
                <w:iCs/>
              </w:rPr>
              <w:t>*</w:t>
            </w:r>
            <w:r w:rsidR="005F2FFD">
              <w:rPr>
                <w:iCs/>
              </w:rPr>
              <w:t>”.</w:t>
            </w:r>
          </w:p>
        </w:tc>
      </w:tr>
      <w:tr w:rsidR="002C3C0A" w14:paraId="0635D623" w14:textId="77777777" w:rsidTr="00896E65">
        <w:tc>
          <w:tcPr>
            <w:tcW w:w="2992" w:type="dxa"/>
            <w:shd w:val="clear" w:color="auto" w:fill="C2D69B" w:themeFill="accent3" w:themeFillTint="99"/>
          </w:tcPr>
          <w:p w14:paraId="5EB863AA" w14:textId="77777777" w:rsidR="002C3C0A" w:rsidRDefault="002C3C0A" w:rsidP="00896E65">
            <w:pPr>
              <w:rPr>
                <w:i/>
              </w:rPr>
            </w:pPr>
            <w:r>
              <w:rPr>
                <w:i/>
              </w:rPr>
              <w:t>Notes</w:t>
            </w:r>
          </w:p>
        </w:tc>
        <w:tc>
          <w:tcPr>
            <w:tcW w:w="4788" w:type="dxa"/>
          </w:tcPr>
          <w:p w14:paraId="62D4510A" w14:textId="77777777" w:rsidR="002C3C0A" w:rsidRPr="008F0580" w:rsidRDefault="002C3C0A" w:rsidP="00896E65">
            <w:pPr>
              <w:spacing w:after="200" w:line="276" w:lineRule="auto"/>
            </w:pPr>
          </w:p>
        </w:tc>
      </w:tr>
    </w:tbl>
    <w:p w14:paraId="4985A77E" w14:textId="77777777" w:rsidR="00DE3F85" w:rsidRDefault="00DE3F85" w:rsidP="00AA7500">
      <w:pPr>
        <w:rPr>
          <w:i/>
        </w:rPr>
      </w:pPr>
    </w:p>
    <w:tbl>
      <w:tblPr>
        <w:tblStyle w:val="TableGrid"/>
        <w:tblW w:w="0" w:type="auto"/>
        <w:tblLook w:val="04A0" w:firstRow="1" w:lastRow="0" w:firstColumn="1" w:lastColumn="0" w:noHBand="0" w:noVBand="1"/>
      </w:tblPr>
      <w:tblGrid>
        <w:gridCol w:w="2992"/>
        <w:gridCol w:w="4788"/>
      </w:tblGrid>
      <w:tr w:rsidR="002C3C0A" w14:paraId="55A02E78" w14:textId="77777777" w:rsidTr="00896E65">
        <w:tc>
          <w:tcPr>
            <w:tcW w:w="2992" w:type="dxa"/>
            <w:shd w:val="clear" w:color="auto" w:fill="C2D69B" w:themeFill="accent3" w:themeFillTint="99"/>
          </w:tcPr>
          <w:p w14:paraId="6B511E57" w14:textId="77777777" w:rsidR="002C3C0A" w:rsidRDefault="002C3C0A" w:rsidP="00896E65">
            <w:pPr>
              <w:rPr>
                <w:i/>
              </w:rPr>
            </w:pPr>
            <w:r>
              <w:rPr>
                <w:i/>
              </w:rPr>
              <w:t>Data or Parameter Monitored</w:t>
            </w:r>
          </w:p>
        </w:tc>
        <w:tc>
          <w:tcPr>
            <w:tcW w:w="4788" w:type="dxa"/>
          </w:tcPr>
          <w:p w14:paraId="2205DA9B" w14:textId="6E553B69" w:rsidR="002C3C0A" w:rsidRPr="008F0580" w:rsidRDefault="008C3DB6" w:rsidP="00896E65">
            <w:pPr>
              <w:spacing w:after="200" w:line="276" w:lineRule="auto"/>
            </w:pPr>
            <w:r>
              <w:t>Tree species</w:t>
            </w:r>
          </w:p>
        </w:tc>
      </w:tr>
      <w:tr w:rsidR="00236DE7" w14:paraId="403B4A58" w14:textId="77777777" w:rsidTr="00896E65">
        <w:tc>
          <w:tcPr>
            <w:tcW w:w="2992" w:type="dxa"/>
            <w:shd w:val="clear" w:color="auto" w:fill="C2D69B" w:themeFill="accent3" w:themeFillTint="99"/>
          </w:tcPr>
          <w:p w14:paraId="7D239A57" w14:textId="77777777" w:rsidR="00236DE7" w:rsidRDefault="00236DE7" w:rsidP="00896E65">
            <w:pPr>
              <w:rPr>
                <w:i/>
              </w:rPr>
            </w:pPr>
            <w:r>
              <w:rPr>
                <w:i/>
              </w:rPr>
              <w:t>Unit of Measurement</w:t>
            </w:r>
          </w:p>
        </w:tc>
        <w:tc>
          <w:tcPr>
            <w:tcW w:w="4788" w:type="dxa"/>
          </w:tcPr>
          <w:p w14:paraId="59E4F942" w14:textId="09431A51" w:rsidR="00236DE7" w:rsidRPr="008F0580" w:rsidRDefault="008C3DB6" w:rsidP="008C3DB6">
            <w:pPr>
              <w:spacing w:after="200" w:line="276" w:lineRule="auto"/>
            </w:pPr>
            <w:r>
              <w:t>Taxon (to species level)</w:t>
            </w:r>
          </w:p>
        </w:tc>
      </w:tr>
      <w:tr w:rsidR="00236DE7" w14:paraId="10E5E15B" w14:textId="77777777" w:rsidTr="00896E65">
        <w:tc>
          <w:tcPr>
            <w:tcW w:w="2992" w:type="dxa"/>
            <w:shd w:val="clear" w:color="auto" w:fill="C2D69B" w:themeFill="accent3" w:themeFillTint="99"/>
          </w:tcPr>
          <w:p w14:paraId="3D9FE4FD" w14:textId="77777777" w:rsidR="00236DE7" w:rsidRDefault="00236DE7" w:rsidP="00896E65">
            <w:pPr>
              <w:rPr>
                <w:i/>
              </w:rPr>
            </w:pPr>
            <w:r>
              <w:rPr>
                <w:i/>
              </w:rPr>
              <w:t>Description</w:t>
            </w:r>
          </w:p>
        </w:tc>
        <w:tc>
          <w:tcPr>
            <w:tcW w:w="4788" w:type="dxa"/>
          </w:tcPr>
          <w:p w14:paraId="3A20A1A4" w14:textId="17C22226" w:rsidR="00236DE7" w:rsidRPr="008F0580" w:rsidRDefault="003E3B87" w:rsidP="003E3B87">
            <w:pPr>
              <w:spacing w:after="200" w:line="276" w:lineRule="auto"/>
            </w:pPr>
            <w:r>
              <w:t xml:space="preserve">Species of tree measured in </w:t>
            </w:r>
            <w:r w:rsidR="003226D5">
              <w:t>forest inventory sample unit</w:t>
            </w:r>
          </w:p>
        </w:tc>
      </w:tr>
      <w:tr w:rsidR="00236DE7" w14:paraId="74ED7F27" w14:textId="77777777" w:rsidTr="00896E65">
        <w:tc>
          <w:tcPr>
            <w:tcW w:w="2992" w:type="dxa"/>
            <w:shd w:val="clear" w:color="auto" w:fill="C2D69B" w:themeFill="accent3" w:themeFillTint="99"/>
          </w:tcPr>
          <w:p w14:paraId="5E030C31" w14:textId="77777777" w:rsidR="00236DE7" w:rsidRDefault="00236DE7" w:rsidP="00896E65">
            <w:pPr>
              <w:rPr>
                <w:i/>
              </w:rPr>
            </w:pPr>
            <w:r>
              <w:rPr>
                <w:i/>
              </w:rPr>
              <w:t>Data Source</w:t>
            </w:r>
          </w:p>
        </w:tc>
        <w:tc>
          <w:tcPr>
            <w:tcW w:w="4788" w:type="dxa"/>
          </w:tcPr>
          <w:p w14:paraId="35F78D1E" w14:textId="686A9753" w:rsidR="00236DE7" w:rsidRPr="008F0580" w:rsidRDefault="003E3B87" w:rsidP="00896E65">
            <w:pPr>
              <w:spacing w:after="200" w:line="276" w:lineRule="auto"/>
            </w:pPr>
            <w:r>
              <w:t>Forest inventory</w:t>
            </w:r>
          </w:p>
        </w:tc>
      </w:tr>
      <w:tr w:rsidR="00236DE7" w14:paraId="018BC9C0" w14:textId="77777777" w:rsidTr="00896E65">
        <w:tc>
          <w:tcPr>
            <w:tcW w:w="2992" w:type="dxa"/>
            <w:shd w:val="clear" w:color="auto" w:fill="C2D69B" w:themeFill="accent3" w:themeFillTint="99"/>
          </w:tcPr>
          <w:p w14:paraId="5633F167" w14:textId="77777777" w:rsidR="00236DE7" w:rsidRDefault="00236DE7" w:rsidP="00896E65">
            <w:pPr>
              <w:rPr>
                <w:i/>
              </w:rPr>
            </w:pPr>
            <w:r>
              <w:rPr>
                <w:i/>
              </w:rPr>
              <w:t>Measurement Methodology</w:t>
            </w:r>
          </w:p>
        </w:tc>
        <w:tc>
          <w:tcPr>
            <w:tcW w:w="4788" w:type="dxa"/>
          </w:tcPr>
          <w:p w14:paraId="21C0EE89" w14:textId="69125021" w:rsidR="00236DE7" w:rsidRPr="00F271CD" w:rsidRDefault="00236DE7" w:rsidP="003E3B87">
            <w:pPr>
              <w:spacing w:after="200" w:line="276" w:lineRule="auto"/>
            </w:pPr>
            <w:r>
              <w:t xml:space="preserve">As per standard operating procedures detailed in </w:t>
            </w:r>
            <w:r w:rsidR="003226D5">
              <w:rPr>
                <w:iCs/>
              </w:rPr>
              <w:t>“</w:t>
            </w:r>
            <w:r w:rsidR="003C76C1" w:rsidRPr="003C76C1">
              <w:rPr>
                <w:iCs/>
              </w:rPr>
              <w:t xml:space="preserve">FINAL UTIA forest C inventory SOPs </w:t>
            </w:r>
            <w:r w:rsidR="00FE3C90">
              <w:rPr>
                <w:iCs/>
              </w:rPr>
              <w:t>*</w:t>
            </w:r>
            <w:r w:rsidR="003226D5">
              <w:rPr>
                <w:iCs/>
              </w:rPr>
              <w:t>”.</w:t>
            </w:r>
          </w:p>
        </w:tc>
      </w:tr>
      <w:tr w:rsidR="00236DE7" w14:paraId="41C867AD" w14:textId="77777777" w:rsidTr="00896E65">
        <w:tc>
          <w:tcPr>
            <w:tcW w:w="2992" w:type="dxa"/>
            <w:shd w:val="clear" w:color="auto" w:fill="C2D69B" w:themeFill="accent3" w:themeFillTint="99"/>
          </w:tcPr>
          <w:p w14:paraId="6AC78544" w14:textId="77777777" w:rsidR="00236DE7" w:rsidRDefault="00236DE7" w:rsidP="00896E65">
            <w:pPr>
              <w:rPr>
                <w:i/>
              </w:rPr>
            </w:pPr>
            <w:r>
              <w:rPr>
                <w:i/>
              </w:rPr>
              <w:t>Data Uncertainty</w:t>
            </w:r>
          </w:p>
        </w:tc>
        <w:tc>
          <w:tcPr>
            <w:tcW w:w="4788" w:type="dxa"/>
          </w:tcPr>
          <w:p w14:paraId="03507C97" w14:textId="08DF7CEB" w:rsidR="00236DE7" w:rsidRPr="008F0580" w:rsidRDefault="00236DE7" w:rsidP="00896E65">
            <w:pPr>
              <w:spacing w:after="200" w:line="276" w:lineRule="auto"/>
            </w:pPr>
            <w:r>
              <w:t>None</w:t>
            </w:r>
          </w:p>
        </w:tc>
      </w:tr>
      <w:tr w:rsidR="00236DE7" w14:paraId="5311B16D" w14:textId="77777777" w:rsidTr="00896E65">
        <w:tc>
          <w:tcPr>
            <w:tcW w:w="2992" w:type="dxa"/>
            <w:shd w:val="clear" w:color="auto" w:fill="C2D69B" w:themeFill="accent3" w:themeFillTint="99"/>
          </w:tcPr>
          <w:p w14:paraId="403E21E1" w14:textId="77777777" w:rsidR="00236DE7" w:rsidRDefault="00236DE7" w:rsidP="00896E65">
            <w:pPr>
              <w:rPr>
                <w:i/>
              </w:rPr>
            </w:pPr>
            <w:r>
              <w:rPr>
                <w:i/>
              </w:rPr>
              <w:t>Monitoring Frequency</w:t>
            </w:r>
          </w:p>
        </w:tc>
        <w:tc>
          <w:tcPr>
            <w:tcW w:w="4788" w:type="dxa"/>
          </w:tcPr>
          <w:p w14:paraId="2AA690E7" w14:textId="46BD8814" w:rsidR="00236DE7" w:rsidRPr="00F271CD" w:rsidRDefault="00236DE7" w:rsidP="00896E65">
            <w:r>
              <w:t>Sample plots are to be re-measured every 5 years or less.</w:t>
            </w:r>
          </w:p>
        </w:tc>
      </w:tr>
      <w:tr w:rsidR="00236DE7" w14:paraId="3FA655F7" w14:textId="77777777" w:rsidTr="00896E65">
        <w:tc>
          <w:tcPr>
            <w:tcW w:w="2992" w:type="dxa"/>
            <w:shd w:val="clear" w:color="auto" w:fill="C2D69B" w:themeFill="accent3" w:themeFillTint="99"/>
          </w:tcPr>
          <w:p w14:paraId="68D095AF" w14:textId="77777777" w:rsidR="00236DE7" w:rsidRDefault="00236DE7" w:rsidP="00896E65">
            <w:pPr>
              <w:rPr>
                <w:i/>
              </w:rPr>
            </w:pPr>
            <w:r>
              <w:rPr>
                <w:i/>
              </w:rPr>
              <w:t>Reporting Procedure</w:t>
            </w:r>
          </w:p>
        </w:tc>
        <w:tc>
          <w:tcPr>
            <w:tcW w:w="4788" w:type="dxa"/>
          </w:tcPr>
          <w:p w14:paraId="250B5AC7" w14:textId="3BA20A93" w:rsidR="00236DE7" w:rsidRPr="00F271CD" w:rsidRDefault="00236DE7" w:rsidP="003E3B87">
            <w:r>
              <w:t xml:space="preserve">Reported in project monitoring </w:t>
            </w:r>
            <w:r w:rsidR="003E3B87">
              <w:t>reports</w:t>
            </w:r>
            <w:r>
              <w:t>.</w:t>
            </w:r>
          </w:p>
        </w:tc>
      </w:tr>
      <w:tr w:rsidR="00236DE7" w14:paraId="547F7C29" w14:textId="77777777" w:rsidTr="00896E65">
        <w:tc>
          <w:tcPr>
            <w:tcW w:w="2992" w:type="dxa"/>
            <w:shd w:val="clear" w:color="auto" w:fill="C2D69B" w:themeFill="accent3" w:themeFillTint="99"/>
          </w:tcPr>
          <w:p w14:paraId="6B3CBE1E" w14:textId="77777777" w:rsidR="00236DE7" w:rsidRDefault="00236DE7" w:rsidP="00896E65">
            <w:pPr>
              <w:rPr>
                <w:i/>
              </w:rPr>
            </w:pPr>
            <w:r>
              <w:rPr>
                <w:i/>
              </w:rPr>
              <w:t>QA/QC Procedure</w:t>
            </w:r>
          </w:p>
        </w:tc>
        <w:tc>
          <w:tcPr>
            <w:tcW w:w="4788" w:type="dxa"/>
          </w:tcPr>
          <w:p w14:paraId="1456797D" w14:textId="7E98EF01" w:rsidR="00236DE7" w:rsidRPr="008F0580" w:rsidRDefault="00236DE7" w:rsidP="00CF387E">
            <w:pPr>
              <w:spacing w:after="200" w:line="276" w:lineRule="auto"/>
            </w:pPr>
            <w:r>
              <w:t xml:space="preserve">As per detailed quality control procedures outlined in </w:t>
            </w:r>
            <w:r w:rsidR="00E8277C">
              <w:rPr>
                <w:iCs/>
              </w:rPr>
              <w:t>“</w:t>
            </w:r>
            <w:r w:rsidR="003C76C1" w:rsidRPr="003C76C1">
              <w:rPr>
                <w:iCs/>
              </w:rPr>
              <w:t xml:space="preserve">FINAL UTIA forest C inventory SOPs </w:t>
            </w:r>
            <w:r w:rsidR="00FE3C90">
              <w:rPr>
                <w:iCs/>
              </w:rPr>
              <w:t>*</w:t>
            </w:r>
            <w:r w:rsidR="00E8277C">
              <w:rPr>
                <w:iCs/>
              </w:rPr>
              <w:t xml:space="preserve">”. </w:t>
            </w:r>
            <w:r w:rsidR="00C6233F">
              <w:t xml:space="preserve">Inventory field crew members will </w:t>
            </w:r>
            <w:r w:rsidR="00CF387E">
              <w:t>be trained in or have familiarity with regional dendrology</w:t>
            </w:r>
            <w:r w:rsidR="00C6233F">
              <w:t>.</w:t>
            </w:r>
          </w:p>
        </w:tc>
      </w:tr>
      <w:tr w:rsidR="00236DE7" w14:paraId="276208BB" w14:textId="77777777" w:rsidTr="00896E65">
        <w:tc>
          <w:tcPr>
            <w:tcW w:w="2992" w:type="dxa"/>
            <w:shd w:val="clear" w:color="auto" w:fill="C2D69B" w:themeFill="accent3" w:themeFillTint="99"/>
          </w:tcPr>
          <w:p w14:paraId="39CB233C" w14:textId="77777777" w:rsidR="00236DE7" w:rsidRDefault="00236DE7" w:rsidP="00896E65">
            <w:pPr>
              <w:rPr>
                <w:i/>
              </w:rPr>
            </w:pPr>
            <w:r>
              <w:rPr>
                <w:i/>
              </w:rPr>
              <w:t>Notes</w:t>
            </w:r>
          </w:p>
        </w:tc>
        <w:tc>
          <w:tcPr>
            <w:tcW w:w="4788" w:type="dxa"/>
          </w:tcPr>
          <w:p w14:paraId="411395AE" w14:textId="77777777" w:rsidR="00236DE7" w:rsidRPr="008F0580" w:rsidRDefault="00236DE7" w:rsidP="00896E65">
            <w:pPr>
              <w:spacing w:after="200" w:line="276" w:lineRule="auto"/>
            </w:pPr>
          </w:p>
        </w:tc>
      </w:tr>
    </w:tbl>
    <w:p w14:paraId="62582A06" w14:textId="79562BDA" w:rsidR="002C3C0A" w:rsidRDefault="002C3C0A" w:rsidP="00AA7500"/>
    <w:tbl>
      <w:tblPr>
        <w:tblStyle w:val="TableGrid"/>
        <w:tblW w:w="0" w:type="auto"/>
        <w:tblLook w:val="04A0" w:firstRow="1" w:lastRow="0" w:firstColumn="1" w:lastColumn="0" w:noHBand="0" w:noVBand="1"/>
      </w:tblPr>
      <w:tblGrid>
        <w:gridCol w:w="2992"/>
        <w:gridCol w:w="4788"/>
      </w:tblGrid>
      <w:tr w:rsidR="0047184E" w14:paraId="752D919E" w14:textId="77777777" w:rsidTr="00737424">
        <w:tc>
          <w:tcPr>
            <w:tcW w:w="2992" w:type="dxa"/>
            <w:shd w:val="clear" w:color="auto" w:fill="C2D69B" w:themeFill="accent3" w:themeFillTint="99"/>
          </w:tcPr>
          <w:p w14:paraId="19A028C5" w14:textId="77777777" w:rsidR="0047184E" w:rsidRDefault="0047184E" w:rsidP="00737424">
            <w:pPr>
              <w:rPr>
                <w:i/>
              </w:rPr>
            </w:pPr>
            <w:r>
              <w:rPr>
                <w:i/>
              </w:rPr>
              <w:t>Data or Parameter Monitored</w:t>
            </w:r>
          </w:p>
        </w:tc>
        <w:tc>
          <w:tcPr>
            <w:tcW w:w="4788" w:type="dxa"/>
          </w:tcPr>
          <w:p w14:paraId="3048D559" w14:textId="77777777" w:rsidR="0047184E" w:rsidRDefault="0047184E" w:rsidP="00737424">
            <w:pPr>
              <w:rPr>
                <w:i/>
              </w:rPr>
            </w:pPr>
            <w:r w:rsidRPr="006B5952">
              <w:rPr>
                <w:rFonts w:ascii="Calibri" w:hAnsi="Calibri"/>
                <w:sz w:val="24"/>
                <w:szCs w:val="24"/>
              </w:rPr>
              <w:t>C</w:t>
            </w:r>
            <w:r w:rsidRPr="006B5952">
              <w:rPr>
                <w:rFonts w:ascii="Calibri" w:hAnsi="Calibri"/>
                <w:sz w:val="24"/>
                <w:szCs w:val="24"/>
                <w:vertAlign w:val="subscript"/>
              </w:rPr>
              <w:t>P,HWP,t</w:t>
            </w:r>
          </w:p>
        </w:tc>
      </w:tr>
      <w:tr w:rsidR="0047184E" w14:paraId="048952C1" w14:textId="77777777" w:rsidTr="00737424">
        <w:tc>
          <w:tcPr>
            <w:tcW w:w="2992" w:type="dxa"/>
            <w:shd w:val="clear" w:color="auto" w:fill="C2D69B" w:themeFill="accent3" w:themeFillTint="99"/>
          </w:tcPr>
          <w:p w14:paraId="703855E1" w14:textId="77777777" w:rsidR="0047184E" w:rsidRDefault="0047184E" w:rsidP="00737424">
            <w:pPr>
              <w:rPr>
                <w:i/>
              </w:rPr>
            </w:pPr>
            <w:r>
              <w:rPr>
                <w:i/>
              </w:rPr>
              <w:t>Unit of Measurement</w:t>
            </w:r>
          </w:p>
        </w:tc>
        <w:tc>
          <w:tcPr>
            <w:tcW w:w="4788" w:type="dxa"/>
          </w:tcPr>
          <w:p w14:paraId="3C437FC4" w14:textId="77777777" w:rsidR="0047184E" w:rsidRDefault="0047184E" w:rsidP="00737424">
            <w:pPr>
              <w:rPr>
                <w:i/>
              </w:rPr>
            </w:pPr>
            <w:r w:rsidRPr="00E512BE">
              <w:rPr>
                <w:rFonts w:ascii="Calibri" w:hAnsi="Calibri"/>
              </w:rPr>
              <w:t xml:space="preserve">metric </w:t>
            </w:r>
            <w:r>
              <w:rPr>
                <w:rFonts w:ascii="Calibri" w:hAnsi="Calibri"/>
              </w:rPr>
              <w:t>tons</w:t>
            </w:r>
            <w:r w:rsidRPr="00E512BE">
              <w:rPr>
                <w:rFonts w:ascii="Calibri" w:hAnsi="Calibri"/>
              </w:rPr>
              <w:t xml:space="preserve"> CO</w:t>
            </w:r>
            <w:r w:rsidRPr="005D7E7C">
              <w:rPr>
                <w:rFonts w:ascii="Calibri" w:hAnsi="Calibri"/>
                <w:vertAlign w:val="subscript"/>
              </w:rPr>
              <w:t>2</w:t>
            </w:r>
          </w:p>
        </w:tc>
      </w:tr>
      <w:tr w:rsidR="0047184E" w14:paraId="04DEC6AD" w14:textId="77777777" w:rsidTr="00737424">
        <w:tc>
          <w:tcPr>
            <w:tcW w:w="2992" w:type="dxa"/>
            <w:shd w:val="clear" w:color="auto" w:fill="C2D69B" w:themeFill="accent3" w:themeFillTint="99"/>
          </w:tcPr>
          <w:p w14:paraId="233873B5" w14:textId="77777777" w:rsidR="0047184E" w:rsidRDefault="0047184E" w:rsidP="00737424">
            <w:pPr>
              <w:rPr>
                <w:i/>
              </w:rPr>
            </w:pPr>
            <w:r>
              <w:rPr>
                <w:i/>
              </w:rPr>
              <w:t>Description</w:t>
            </w:r>
          </w:p>
        </w:tc>
        <w:tc>
          <w:tcPr>
            <w:tcW w:w="4788" w:type="dxa"/>
          </w:tcPr>
          <w:p w14:paraId="47BBA611" w14:textId="77777777" w:rsidR="0047184E" w:rsidRDefault="0047184E" w:rsidP="00737424">
            <w:pPr>
              <w:rPr>
                <w:i/>
              </w:rPr>
            </w:pPr>
            <w:r>
              <w:rPr>
                <w:rFonts w:ascii="Calibri" w:hAnsi="Calibri"/>
              </w:rPr>
              <w:t>C</w:t>
            </w:r>
            <w:r w:rsidRPr="005D7E7C">
              <w:rPr>
                <w:rFonts w:ascii="Calibri" w:hAnsi="Calibri"/>
              </w:rPr>
              <w:t>arbon remaining stored in wood products</w:t>
            </w:r>
            <w:r>
              <w:rPr>
                <w:rFonts w:ascii="Calibri" w:hAnsi="Calibri"/>
              </w:rPr>
              <w:t xml:space="preserve"> 100 years after harvest for the project in year t</w:t>
            </w:r>
            <w:r w:rsidRPr="00E512BE">
              <w:rPr>
                <w:rFonts w:ascii="Calibri" w:hAnsi="Calibri"/>
              </w:rPr>
              <w:t>.</w:t>
            </w:r>
          </w:p>
        </w:tc>
      </w:tr>
      <w:tr w:rsidR="0047184E" w14:paraId="2FAFE251" w14:textId="77777777" w:rsidTr="00737424">
        <w:tc>
          <w:tcPr>
            <w:tcW w:w="2992" w:type="dxa"/>
            <w:shd w:val="clear" w:color="auto" w:fill="C2D69B" w:themeFill="accent3" w:themeFillTint="99"/>
          </w:tcPr>
          <w:p w14:paraId="71788EEC" w14:textId="77777777" w:rsidR="0047184E" w:rsidRDefault="0047184E" w:rsidP="00737424">
            <w:pPr>
              <w:rPr>
                <w:i/>
              </w:rPr>
            </w:pPr>
            <w:r>
              <w:rPr>
                <w:i/>
              </w:rPr>
              <w:t>Data Source</w:t>
            </w:r>
          </w:p>
        </w:tc>
        <w:tc>
          <w:tcPr>
            <w:tcW w:w="4788" w:type="dxa"/>
          </w:tcPr>
          <w:p w14:paraId="390FD6CA" w14:textId="058FF70B" w:rsidR="0047184E" w:rsidRPr="00345156" w:rsidRDefault="0047184E" w:rsidP="00737424">
            <w:pPr>
              <w:rPr>
                <w:rFonts w:ascii="Calibri" w:hAnsi="Calibri"/>
              </w:rPr>
            </w:pPr>
            <w:r w:rsidRPr="00345156">
              <w:rPr>
                <w:rFonts w:ascii="Calibri" w:hAnsi="Calibri"/>
              </w:rPr>
              <w:t xml:space="preserve">Monitored </w:t>
            </w:r>
            <w:r w:rsidR="00847563" w:rsidRPr="00345156">
              <w:rPr>
                <w:rFonts w:ascii="Calibri" w:hAnsi="Calibri"/>
              </w:rPr>
              <w:t>from</w:t>
            </w:r>
            <w:r w:rsidR="00847563">
              <w:rPr>
                <w:rFonts w:ascii="Calibri" w:hAnsi="Calibri"/>
              </w:rPr>
              <w:t xml:space="preserve"> </w:t>
            </w:r>
            <w:r w:rsidR="00847563" w:rsidRPr="00345156">
              <w:rPr>
                <w:rFonts w:ascii="Calibri" w:hAnsi="Calibri"/>
              </w:rPr>
              <w:t>harvest volumes</w:t>
            </w:r>
            <w:r w:rsidR="00C75B67">
              <w:rPr>
                <w:rFonts w:ascii="Calibri" w:hAnsi="Calibri"/>
              </w:rPr>
              <w:t xml:space="preserve"> estimated from pre-sale cruises, in the case of stumpage sales, or from scaled mill receipts in the case of producer sales (where UT cuts and hauls timber to a receiving mill)</w:t>
            </w:r>
            <w:r w:rsidR="00847563" w:rsidRPr="00345156">
              <w:rPr>
                <w:rFonts w:ascii="Calibri" w:hAnsi="Calibri"/>
              </w:rPr>
              <w:t>.</w:t>
            </w:r>
            <w:r w:rsidR="001A220D">
              <w:rPr>
                <w:rFonts w:ascii="Calibri" w:hAnsi="Calibri"/>
              </w:rPr>
              <w:t xml:space="preserve"> </w:t>
            </w:r>
          </w:p>
        </w:tc>
      </w:tr>
      <w:tr w:rsidR="0047184E" w14:paraId="0BB16381" w14:textId="77777777" w:rsidTr="00737424">
        <w:tc>
          <w:tcPr>
            <w:tcW w:w="2992" w:type="dxa"/>
            <w:shd w:val="clear" w:color="auto" w:fill="C2D69B" w:themeFill="accent3" w:themeFillTint="99"/>
          </w:tcPr>
          <w:p w14:paraId="098A1C97" w14:textId="77777777" w:rsidR="0047184E" w:rsidRDefault="0047184E" w:rsidP="00737424">
            <w:pPr>
              <w:rPr>
                <w:i/>
              </w:rPr>
            </w:pPr>
            <w:r>
              <w:rPr>
                <w:i/>
              </w:rPr>
              <w:t>Measurement Methodology</w:t>
            </w:r>
          </w:p>
        </w:tc>
        <w:tc>
          <w:tcPr>
            <w:tcW w:w="4788" w:type="dxa"/>
          </w:tcPr>
          <w:p w14:paraId="518EA00A" w14:textId="1D5CAC10" w:rsidR="00A35EE1" w:rsidRDefault="00A35EE1" w:rsidP="00A35EE1">
            <w:bookmarkStart w:id="28" w:name="_Hlk48286052"/>
          </w:p>
          <w:bookmarkEnd w:id="28"/>
          <w:p w14:paraId="12777432" w14:textId="1C8BF82B" w:rsidR="00A35EE1" w:rsidRPr="00345156" w:rsidRDefault="00A35EE1" w:rsidP="00345156">
            <w:pPr>
              <w:rPr>
                <w:rFonts w:ascii="Calibri" w:hAnsi="Calibri"/>
              </w:rPr>
            </w:pPr>
          </w:p>
        </w:tc>
      </w:tr>
      <w:tr w:rsidR="0047184E" w14:paraId="43DDFD51" w14:textId="77777777" w:rsidTr="00737424">
        <w:tc>
          <w:tcPr>
            <w:tcW w:w="2992" w:type="dxa"/>
            <w:shd w:val="clear" w:color="auto" w:fill="C2D69B" w:themeFill="accent3" w:themeFillTint="99"/>
          </w:tcPr>
          <w:p w14:paraId="2F430E53" w14:textId="77777777" w:rsidR="0047184E" w:rsidRDefault="0047184E" w:rsidP="00737424">
            <w:pPr>
              <w:rPr>
                <w:i/>
              </w:rPr>
            </w:pPr>
            <w:r>
              <w:rPr>
                <w:i/>
              </w:rPr>
              <w:t>Data Uncertainty</w:t>
            </w:r>
          </w:p>
        </w:tc>
        <w:tc>
          <w:tcPr>
            <w:tcW w:w="4788" w:type="dxa"/>
          </w:tcPr>
          <w:p w14:paraId="3A89646A" w14:textId="77777777" w:rsidR="0047184E" w:rsidRDefault="0047184E" w:rsidP="00737424">
            <w:pPr>
              <w:rPr>
                <w:i/>
              </w:rPr>
            </w:pPr>
          </w:p>
        </w:tc>
      </w:tr>
      <w:tr w:rsidR="0047184E" w14:paraId="05EC81D7" w14:textId="77777777" w:rsidTr="00737424">
        <w:tc>
          <w:tcPr>
            <w:tcW w:w="2992" w:type="dxa"/>
            <w:shd w:val="clear" w:color="auto" w:fill="C2D69B" w:themeFill="accent3" w:themeFillTint="99"/>
          </w:tcPr>
          <w:p w14:paraId="364BD8DB" w14:textId="77777777" w:rsidR="0047184E" w:rsidRDefault="0047184E" w:rsidP="00737424">
            <w:pPr>
              <w:rPr>
                <w:i/>
              </w:rPr>
            </w:pPr>
            <w:r>
              <w:rPr>
                <w:i/>
              </w:rPr>
              <w:t>Monitoring Frequency</w:t>
            </w:r>
          </w:p>
        </w:tc>
        <w:tc>
          <w:tcPr>
            <w:tcW w:w="4788" w:type="dxa"/>
          </w:tcPr>
          <w:p w14:paraId="16CB0787" w14:textId="77777777" w:rsidR="0047184E" w:rsidRPr="004F4CA5" w:rsidRDefault="0047184E" w:rsidP="00737424">
            <w:r>
              <w:t>Annual data summed for the monitoring period, applied as average annual for the monitoring period</w:t>
            </w:r>
          </w:p>
        </w:tc>
      </w:tr>
      <w:tr w:rsidR="0047184E" w14:paraId="057149B5" w14:textId="77777777" w:rsidTr="00737424">
        <w:tc>
          <w:tcPr>
            <w:tcW w:w="2992" w:type="dxa"/>
            <w:shd w:val="clear" w:color="auto" w:fill="C2D69B" w:themeFill="accent3" w:themeFillTint="99"/>
          </w:tcPr>
          <w:p w14:paraId="5D3DC6A2" w14:textId="77777777" w:rsidR="0047184E" w:rsidRDefault="0047184E" w:rsidP="00737424">
            <w:pPr>
              <w:rPr>
                <w:i/>
              </w:rPr>
            </w:pPr>
            <w:r>
              <w:rPr>
                <w:i/>
              </w:rPr>
              <w:t>Reporting Procedure</w:t>
            </w:r>
          </w:p>
        </w:tc>
        <w:tc>
          <w:tcPr>
            <w:tcW w:w="4788" w:type="dxa"/>
          </w:tcPr>
          <w:p w14:paraId="25FA112A" w14:textId="77777777" w:rsidR="0047184E" w:rsidRPr="004F4CA5" w:rsidRDefault="0047184E" w:rsidP="00737424"/>
        </w:tc>
      </w:tr>
      <w:tr w:rsidR="0047184E" w14:paraId="5EBF4761" w14:textId="77777777" w:rsidTr="00737424">
        <w:tc>
          <w:tcPr>
            <w:tcW w:w="2992" w:type="dxa"/>
            <w:shd w:val="clear" w:color="auto" w:fill="C2D69B" w:themeFill="accent3" w:themeFillTint="99"/>
          </w:tcPr>
          <w:p w14:paraId="6625693D" w14:textId="77777777" w:rsidR="0047184E" w:rsidRDefault="0047184E" w:rsidP="00737424">
            <w:pPr>
              <w:rPr>
                <w:i/>
              </w:rPr>
            </w:pPr>
            <w:r>
              <w:rPr>
                <w:i/>
              </w:rPr>
              <w:t>QA/QC Procedure</w:t>
            </w:r>
          </w:p>
        </w:tc>
        <w:tc>
          <w:tcPr>
            <w:tcW w:w="4788" w:type="dxa"/>
          </w:tcPr>
          <w:p w14:paraId="444323C0" w14:textId="5F2B7B6D" w:rsidR="0047184E" w:rsidRPr="008F0580" w:rsidRDefault="001A220D" w:rsidP="00345156">
            <w:pPr>
              <w:rPr>
                <w:rFonts w:ascii="Arial" w:hAnsi="Arial" w:cs="Arial"/>
                <w:color w:val="2E75B6"/>
                <w:sz w:val="20"/>
                <w:szCs w:val="20"/>
              </w:rPr>
            </w:pPr>
            <w:r>
              <w:t>Timber grading applies US Forest Service procedures, documented in “</w:t>
            </w:r>
            <w:r w:rsidRPr="001A220D">
              <w:t>US Forest Service Log Grade Field Card</w:t>
            </w:r>
            <w:r>
              <w:t>.doc”</w:t>
            </w:r>
            <w:r w:rsidR="00044452">
              <w:t>, and volumes calculated from cruise data using “</w:t>
            </w:r>
            <w:r w:rsidR="00044452" w:rsidRPr="00044452">
              <w:t>TPlot for Foresters 16 tabs June 2020</w:t>
            </w:r>
            <w:r w:rsidR="00044452">
              <w:t>.xlsx”</w:t>
            </w:r>
            <w:r>
              <w:t xml:space="preserve"> </w:t>
            </w:r>
          </w:p>
        </w:tc>
      </w:tr>
      <w:tr w:rsidR="0047184E" w14:paraId="00814B8B" w14:textId="77777777" w:rsidTr="00737424">
        <w:tc>
          <w:tcPr>
            <w:tcW w:w="2992" w:type="dxa"/>
            <w:shd w:val="clear" w:color="auto" w:fill="C2D69B" w:themeFill="accent3" w:themeFillTint="99"/>
          </w:tcPr>
          <w:p w14:paraId="6B222AC7" w14:textId="77777777" w:rsidR="0047184E" w:rsidRDefault="0047184E" w:rsidP="00737424">
            <w:pPr>
              <w:rPr>
                <w:i/>
              </w:rPr>
            </w:pPr>
            <w:r>
              <w:rPr>
                <w:i/>
              </w:rPr>
              <w:t>Notes</w:t>
            </w:r>
          </w:p>
        </w:tc>
        <w:tc>
          <w:tcPr>
            <w:tcW w:w="4788" w:type="dxa"/>
          </w:tcPr>
          <w:p w14:paraId="18D00CA1" w14:textId="77777777" w:rsidR="0047184E" w:rsidRDefault="0047184E" w:rsidP="00737424">
            <w:pPr>
              <w:rPr>
                <w:i/>
              </w:rPr>
            </w:pPr>
          </w:p>
        </w:tc>
      </w:tr>
    </w:tbl>
    <w:p w14:paraId="79DD4A65" w14:textId="3012F0AB" w:rsidR="0047184E" w:rsidRDefault="0047184E" w:rsidP="00AA7500"/>
    <w:p w14:paraId="61A7932E" w14:textId="346B6BEA" w:rsidR="0047184E" w:rsidRDefault="0047184E" w:rsidP="00AA7500"/>
    <w:tbl>
      <w:tblPr>
        <w:tblStyle w:val="TableGrid"/>
        <w:tblW w:w="0" w:type="auto"/>
        <w:tblLook w:val="04A0" w:firstRow="1" w:lastRow="0" w:firstColumn="1" w:lastColumn="0" w:noHBand="0" w:noVBand="1"/>
      </w:tblPr>
      <w:tblGrid>
        <w:gridCol w:w="2992"/>
        <w:gridCol w:w="4788"/>
      </w:tblGrid>
      <w:tr w:rsidR="0047184E" w14:paraId="33879EE5" w14:textId="77777777" w:rsidTr="00737424">
        <w:tc>
          <w:tcPr>
            <w:tcW w:w="2992" w:type="dxa"/>
            <w:shd w:val="clear" w:color="auto" w:fill="C2D69B" w:themeFill="accent3" w:themeFillTint="99"/>
          </w:tcPr>
          <w:p w14:paraId="1A265211" w14:textId="77777777" w:rsidR="0047184E" w:rsidRDefault="0047184E" w:rsidP="00737424">
            <w:pPr>
              <w:rPr>
                <w:i/>
              </w:rPr>
            </w:pPr>
            <w:r>
              <w:rPr>
                <w:i/>
              </w:rPr>
              <w:t>Data or Parameter Monitored</w:t>
            </w:r>
          </w:p>
        </w:tc>
        <w:tc>
          <w:tcPr>
            <w:tcW w:w="4788" w:type="dxa"/>
          </w:tcPr>
          <w:p w14:paraId="4B2708C1" w14:textId="77777777" w:rsidR="0047184E" w:rsidRDefault="0047184E" w:rsidP="00737424">
            <w:pPr>
              <w:rPr>
                <w:i/>
              </w:rPr>
            </w:pPr>
            <w:r w:rsidRPr="006B5952">
              <w:rPr>
                <w:rFonts w:ascii="Calibri" w:hAnsi="Calibri"/>
                <w:i/>
                <w:sz w:val="24"/>
                <w:szCs w:val="24"/>
              </w:rPr>
              <w:t>BS</w:t>
            </w:r>
            <w:r w:rsidRPr="006B5952">
              <w:rPr>
                <w:rFonts w:ascii="Calibri" w:hAnsi="Calibri"/>
                <w:i/>
                <w:sz w:val="24"/>
                <w:szCs w:val="24"/>
                <w:vertAlign w:val="subscript"/>
              </w:rPr>
              <w:t>P,t</w:t>
            </w:r>
          </w:p>
        </w:tc>
      </w:tr>
      <w:tr w:rsidR="0047184E" w14:paraId="10EB489D" w14:textId="77777777" w:rsidTr="00737424">
        <w:tc>
          <w:tcPr>
            <w:tcW w:w="2992" w:type="dxa"/>
            <w:shd w:val="clear" w:color="auto" w:fill="C2D69B" w:themeFill="accent3" w:themeFillTint="99"/>
          </w:tcPr>
          <w:p w14:paraId="74E7754E" w14:textId="77777777" w:rsidR="0047184E" w:rsidRDefault="0047184E" w:rsidP="00737424">
            <w:pPr>
              <w:rPr>
                <w:i/>
              </w:rPr>
            </w:pPr>
            <w:r>
              <w:rPr>
                <w:i/>
              </w:rPr>
              <w:t>Unit of Measurement</w:t>
            </w:r>
          </w:p>
        </w:tc>
        <w:tc>
          <w:tcPr>
            <w:tcW w:w="4788" w:type="dxa"/>
          </w:tcPr>
          <w:p w14:paraId="6E8C216D" w14:textId="77777777" w:rsidR="0047184E" w:rsidRDefault="0047184E" w:rsidP="00737424">
            <w:pPr>
              <w:rPr>
                <w:i/>
              </w:rPr>
            </w:pPr>
            <w:r w:rsidRPr="00891D11">
              <w:rPr>
                <w:rFonts w:ascii="Calibri" w:hAnsi="Calibri"/>
              </w:rPr>
              <w:t xml:space="preserve">in metric </w:t>
            </w:r>
            <w:r>
              <w:rPr>
                <w:rFonts w:ascii="Calibri" w:hAnsi="Calibri"/>
              </w:rPr>
              <w:t>tons</w:t>
            </w:r>
            <w:r w:rsidRPr="00891D11">
              <w:rPr>
                <w:rFonts w:ascii="Calibri" w:hAnsi="Calibri"/>
              </w:rPr>
              <w:t xml:space="preserve"> CO</w:t>
            </w:r>
            <w:r w:rsidRPr="00891D11">
              <w:rPr>
                <w:rFonts w:ascii="Calibri" w:hAnsi="Calibri"/>
                <w:vertAlign w:val="subscript"/>
              </w:rPr>
              <w:t>2</w:t>
            </w:r>
          </w:p>
        </w:tc>
      </w:tr>
      <w:tr w:rsidR="0047184E" w14:paraId="0C28CFEC" w14:textId="77777777" w:rsidTr="00737424">
        <w:tc>
          <w:tcPr>
            <w:tcW w:w="2992" w:type="dxa"/>
            <w:shd w:val="clear" w:color="auto" w:fill="C2D69B" w:themeFill="accent3" w:themeFillTint="99"/>
          </w:tcPr>
          <w:p w14:paraId="2D4D65CF" w14:textId="77777777" w:rsidR="0047184E" w:rsidRDefault="0047184E" w:rsidP="00737424">
            <w:pPr>
              <w:rPr>
                <w:i/>
              </w:rPr>
            </w:pPr>
            <w:r>
              <w:rPr>
                <w:i/>
              </w:rPr>
              <w:t>Description</w:t>
            </w:r>
          </w:p>
        </w:tc>
        <w:tc>
          <w:tcPr>
            <w:tcW w:w="4788" w:type="dxa"/>
          </w:tcPr>
          <w:p w14:paraId="0D478793" w14:textId="77777777" w:rsidR="0047184E" w:rsidRDefault="0047184E" w:rsidP="00737424">
            <w:pPr>
              <w:rPr>
                <w:i/>
              </w:rPr>
            </w:pPr>
            <w:r>
              <w:rPr>
                <w:rFonts w:ascii="Calibri" w:hAnsi="Calibri"/>
              </w:rPr>
              <w:t>Carbon stock in logging slash burned in the project in</w:t>
            </w:r>
            <w:r w:rsidRPr="00891D11">
              <w:rPr>
                <w:rFonts w:ascii="Calibri" w:hAnsi="Calibri"/>
              </w:rPr>
              <w:t xml:space="preserve"> year </w:t>
            </w:r>
            <w:r w:rsidRPr="00891D11">
              <w:rPr>
                <w:rFonts w:ascii="Calibri" w:hAnsi="Calibri"/>
                <w:i/>
              </w:rPr>
              <w:t>t</w:t>
            </w:r>
          </w:p>
        </w:tc>
      </w:tr>
      <w:tr w:rsidR="0047184E" w14:paraId="4BF5DC2A" w14:textId="77777777" w:rsidTr="00737424">
        <w:tc>
          <w:tcPr>
            <w:tcW w:w="2992" w:type="dxa"/>
            <w:shd w:val="clear" w:color="auto" w:fill="C2D69B" w:themeFill="accent3" w:themeFillTint="99"/>
          </w:tcPr>
          <w:p w14:paraId="14BD4915" w14:textId="77777777" w:rsidR="0047184E" w:rsidRDefault="0047184E" w:rsidP="00737424">
            <w:pPr>
              <w:rPr>
                <w:i/>
              </w:rPr>
            </w:pPr>
            <w:r>
              <w:rPr>
                <w:i/>
              </w:rPr>
              <w:t>Data Source</w:t>
            </w:r>
          </w:p>
        </w:tc>
        <w:tc>
          <w:tcPr>
            <w:tcW w:w="4788" w:type="dxa"/>
          </w:tcPr>
          <w:p w14:paraId="3CA974E2" w14:textId="77777777" w:rsidR="0047184E" w:rsidRDefault="0047184E" w:rsidP="00737424">
            <w:pPr>
              <w:rPr>
                <w:i/>
              </w:rPr>
            </w:pPr>
          </w:p>
        </w:tc>
      </w:tr>
      <w:tr w:rsidR="0047184E" w14:paraId="0356BFEB" w14:textId="77777777" w:rsidTr="00737424">
        <w:tc>
          <w:tcPr>
            <w:tcW w:w="2992" w:type="dxa"/>
            <w:shd w:val="clear" w:color="auto" w:fill="C2D69B" w:themeFill="accent3" w:themeFillTint="99"/>
          </w:tcPr>
          <w:p w14:paraId="320C1DD6" w14:textId="77777777" w:rsidR="0047184E" w:rsidRDefault="0047184E" w:rsidP="00737424">
            <w:pPr>
              <w:rPr>
                <w:i/>
              </w:rPr>
            </w:pPr>
            <w:r>
              <w:rPr>
                <w:i/>
              </w:rPr>
              <w:t>Measurement Methodology</w:t>
            </w:r>
          </w:p>
        </w:tc>
        <w:tc>
          <w:tcPr>
            <w:tcW w:w="4788" w:type="dxa"/>
          </w:tcPr>
          <w:p w14:paraId="081B013E" w14:textId="77777777" w:rsidR="006C452B" w:rsidRDefault="0047184E" w:rsidP="00737424">
            <w:r w:rsidRPr="00B44255">
              <w:t xml:space="preserve">Burning </w:t>
            </w:r>
            <w:r w:rsidR="00B44255" w:rsidRPr="00B44255">
              <w:t>is not a routine part of management practices. Where burning is implemented (e.g. prescribed burning</w:t>
            </w:r>
            <w:r w:rsidR="00D61285">
              <w:t xml:space="preserve"> </w:t>
            </w:r>
            <w:r w:rsidR="00B44255" w:rsidRPr="00B44255">
              <w:t>for site prep)</w:t>
            </w:r>
            <w:r w:rsidR="006C452B">
              <w:t>, the area will be delineated and any mortality assessed via field measurements.</w:t>
            </w:r>
            <w:r w:rsidR="00B44255" w:rsidRPr="00B44255">
              <w:t xml:space="preserve"> </w:t>
            </w:r>
          </w:p>
          <w:p w14:paraId="6F193A2B" w14:textId="77777777" w:rsidR="006C452B" w:rsidRDefault="006C452B" w:rsidP="00737424"/>
          <w:p w14:paraId="15E167C5" w14:textId="1E744F77" w:rsidR="0047184E" w:rsidRPr="00BE584A" w:rsidRDefault="00265768" w:rsidP="00737424">
            <w:r>
              <w:t>S</w:t>
            </w:r>
            <w:r w:rsidR="0047184E" w:rsidRPr="002C5A38">
              <w:t xml:space="preserve">urveillance </w:t>
            </w:r>
            <w:r>
              <w:t xml:space="preserve">of slash management on harvests is performed on FSC audits via visual </w:t>
            </w:r>
            <w:r w:rsidRPr="00B44255">
              <w:t xml:space="preserve">census. </w:t>
            </w:r>
          </w:p>
        </w:tc>
      </w:tr>
      <w:tr w:rsidR="0047184E" w14:paraId="1AFC933F" w14:textId="77777777" w:rsidTr="00737424">
        <w:tc>
          <w:tcPr>
            <w:tcW w:w="2992" w:type="dxa"/>
            <w:shd w:val="clear" w:color="auto" w:fill="C2D69B" w:themeFill="accent3" w:themeFillTint="99"/>
          </w:tcPr>
          <w:p w14:paraId="320D5B8F" w14:textId="77777777" w:rsidR="0047184E" w:rsidRDefault="0047184E" w:rsidP="00737424">
            <w:pPr>
              <w:rPr>
                <w:i/>
              </w:rPr>
            </w:pPr>
            <w:r>
              <w:rPr>
                <w:i/>
              </w:rPr>
              <w:t>Data Uncertainty</w:t>
            </w:r>
          </w:p>
        </w:tc>
        <w:tc>
          <w:tcPr>
            <w:tcW w:w="4788" w:type="dxa"/>
          </w:tcPr>
          <w:p w14:paraId="457E57D6" w14:textId="77777777" w:rsidR="0047184E" w:rsidRDefault="0047184E" w:rsidP="00737424">
            <w:pPr>
              <w:rPr>
                <w:i/>
              </w:rPr>
            </w:pPr>
          </w:p>
        </w:tc>
      </w:tr>
      <w:tr w:rsidR="0047184E" w14:paraId="3C7036C7" w14:textId="77777777" w:rsidTr="00737424">
        <w:tc>
          <w:tcPr>
            <w:tcW w:w="2992" w:type="dxa"/>
            <w:shd w:val="clear" w:color="auto" w:fill="C2D69B" w:themeFill="accent3" w:themeFillTint="99"/>
          </w:tcPr>
          <w:p w14:paraId="66A99DF1" w14:textId="77777777" w:rsidR="0047184E" w:rsidRDefault="0047184E" w:rsidP="00737424">
            <w:pPr>
              <w:rPr>
                <w:i/>
              </w:rPr>
            </w:pPr>
            <w:r>
              <w:rPr>
                <w:i/>
              </w:rPr>
              <w:t>Monitoring Frequency</w:t>
            </w:r>
          </w:p>
        </w:tc>
        <w:tc>
          <w:tcPr>
            <w:tcW w:w="4788" w:type="dxa"/>
          </w:tcPr>
          <w:p w14:paraId="141D2063" w14:textId="2FE826EF" w:rsidR="0047184E" w:rsidRPr="008037E2" w:rsidRDefault="008037E2" w:rsidP="00737424">
            <w:r>
              <w:t>Annual</w:t>
            </w:r>
          </w:p>
        </w:tc>
      </w:tr>
      <w:tr w:rsidR="0047184E" w14:paraId="63F116E6" w14:textId="77777777" w:rsidTr="00737424">
        <w:tc>
          <w:tcPr>
            <w:tcW w:w="2992" w:type="dxa"/>
            <w:shd w:val="clear" w:color="auto" w:fill="C2D69B" w:themeFill="accent3" w:themeFillTint="99"/>
          </w:tcPr>
          <w:p w14:paraId="37F24EB4" w14:textId="77777777" w:rsidR="0047184E" w:rsidRDefault="0047184E" w:rsidP="00737424">
            <w:pPr>
              <w:rPr>
                <w:i/>
              </w:rPr>
            </w:pPr>
            <w:r>
              <w:rPr>
                <w:i/>
              </w:rPr>
              <w:t>Reporting Procedure</w:t>
            </w:r>
          </w:p>
        </w:tc>
        <w:tc>
          <w:tcPr>
            <w:tcW w:w="4788" w:type="dxa"/>
          </w:tcPr>
          <w:p w14:paraId="65C22422" w14:textId="77777777" w:rsidR="0047184E" w:rsidRDefault="0047184E" w:rsidP="00737424">
            <w:pPr>
              <w:rPr>
                <w:i/>
              </w:rPr>
            </w:pPr>
          </w:p>
        </w:tc>
      </w:tr>
      <w:tr w:rsidR="0047184E" w14:paraId="5C957FC6" w14:textId="77777777" w:rsidTr="00737424">
        <w:tc>
          <w:tcPr>
            <w:tcW w:w="2992" w:type="dxa"/>
            <w:shd w:val="clear" w:color="auto" w:fill="C2D69B" w:themeFill="accent3" w:themeFillTint="99"/>
          </w:tcPr>
          <w:p w14:paraId="33085AA2" w14:textId="77777777" w:rsidR="0047184E" w:rsidRDefault="0047184E" w:rsidP="00737424">
            <w:pPr>
              <w:rPr>
                <w:i/>
              </w:rPr>
            </w:pPr>
            <w:r>
              <w:rPr>
                <w:i/>
              </w:rPr>
              <w:t>QA/QC Procedure</w:t>
            </w:r>
          </w:p>
        </w:tc>
        <w:tc>
          <w:tcPr>
            <w:tcW w:w="4788" w:type="dxa"/>
          </w:tcPr>
          <w:p w14:paraId="6289D3F6" w14:textId="3819D257" w:rsidR="0047184E" w:rsidRPr="00417565" w:rsidRDefault="00FB023A" w:rsidP="00737424">
            <w:r>
              <w:t>Monitoring and measurement of logging slash will be conducted by a professional forester.</w:t>
            </w:r>
          </w:p>
        </w:tc>
      </w:tr>
      <w:tr w:rsidR="0047184E" w14:paraId="3DECD58D" w14:textId="77777777" w:rsidTr="00737424">
        <w:tc>
          <w:tcPr>
            <w:tcW w:w="2992" w:type="dxa"/>
            <w:shd w:val="clear" w:color="auto" w:fill="C2D69B" w:themeFill="accent3" w:themeFillTint="99"/>
          </w:tcPr>
          <w:p w14:paraId="6E53AEFC" w14:textId="77777777" w:rsidR="0047184E" w:rsidRDefault="0047184E" w:rsidP="00737424">
            <w:pPr>
              <w:rPr>
                <w:i/>
              </w:rPr>
            </w:pPr>
            <w:r>
              <w:rPr>
                <w:i/>
              </w:rPr>
              <w:t>Notes</w:t>
            </w:r>
          </w:p>
        </w:tc>
        <w:tc>
          <w:tcPr>
            <w:tcW w:w="4788" w:type="dxa"/>
          </w:tcPr>
          <w:p w14:paraId="1B6CF482" w14:textId="77777777" w:rsidR="0047184E" w:rsidRDefault="0047184E" w:rsidP="00737424">
            <w:pPr>
              <w:rPr>
                <w:i/>
              </w:rPr>
            </w:pPr>
          </w:p>
        </w:tc>
      </w:tr>
    </w:tbl>
    <w:p w14:paraId="1817D16B" w14:textId="77777777" w:rsidR="0047184E" w:rsidRDefault="0047184E" w:rsidP="00AA7500"/>
    <w:p w14:paraId="38D132D1" w14:textId="77777777" w:rsidR="0047184E" w:rsidRDefault="0047184E" w:rsidP="00AA7500"/>
    <w:p w14:paraId="30B2E5CF" w14:textId="621B0D7A" w:rsidR="001F5C4B" w:rsidRDefault="001F5C4B" w:rsidP="00AA7500"/>
    <w:p w14:paraId="42E0DE3B" w14:textId="77777777" w:rsidR="0047184E" w:rsidRPr="008F0580" w:rsidRDefault="0047184E" w:rsidP="00AA7500"/>
    <w:p w14:paraId="2777674A" w14:textId="77777777" w:rsidR="00A032A8" w:rsidRDefault="00580B7D" w:rsidP="00A032A8">
      <w:pPr>
        <w:sectPr w:rsidR="00A032A8" w:rsidSect="00A032A8">
          <w:type w:val="oddPage"/>
          <w:pgSz w:w="12240" w:h="15840"/>
          <w:pgMar w:top="1440" w:right="1440" w:bottom="1440" w:left="1440" w:header="720" w:footer="144" w:gutter="0"/>
          <w:cols w:space="720"/>
          <w:docGrid w:linePitch="360"/>
        </w:sectPr>
      </w:pPr>
      <w:r>
        <w:br w:type="page"/>
      </w:r>
    </w:p>
    <w:p w14:paraId="2AC2458B" w14:textId="77777777" w:rsidR="00580B7D" w:rsidRPr="00A032A8" w:rsidRDefault="00580B7D" w:rsidP="00A032A8">
      <w:pPr>
        <w:rPr>
          <w:rFonts w:eastAsiaTheme="majorEastAsia" w:cstheme="majorBidi"/>
          <w:b/>
          <w:bCs/>
          <w:sz w:val="52"/>
          <w:szCs w:val="52"/>
        </w:rPr>
      </w:pPr>
    </w:p>
    <w:p w14:paraId="79F2C028" w14:textId="77777777" w:rsidR="00580B7D" w:rsidRDefault="00580B7D" w:rsidP="006F54FC">
      <w:pPr>
        <w:pStyle w:val="Heading1"/>
      </w:pPr>
    </w:p>
    <w:p w14:paraId="70C2B67D" w14:textId="77777777" w:rsidR="00580B7D" w:rsidRDefault="00580B7D" w:rsidP="006F54FC">
      <w:pPr>
        <w:pStyle w:val="Heading1"/>
      </w:pPr>
    </w:p>
    <w:p w14:paraId="78DFD244" w14:textId="77777777" w:rsidR="00580B7D" w:rsidRDefault="00580B7D" w:rsidP="006F54FC">
      <w:pPr>
        <w:pStyle w:val="Heading1"/>
      </w:pPr>
    </w:p>
    <w:p w14:paraId="3D927A75" w14:textId="77777777" w:rsidR="00DB7BAC" w:rsidRDefault="000F6CBD" w:rsidP="006F54FC">
      <w:pPr>
        <w:pStyle w:val="Heading1"/>
      </w:pPr>
      <w:bookmarkStart w:id="29" w:name="_Toc2243505"/>
      <w:r>
        <w:t>E</w:t>
      </w:r>
      <w:r w:rsidR="00546796">
        <w:t>.</w:t>
      </w:r>
      <w:r w:rsidR="003B7D55">
        <w:br/>
      </w:r>
      <w:r w:rsidR="006424C5">
        <w:t>QUANTIFICATION</w:t>
      </w:r>
      <w:bookmarkEnd w:id="29"/>
    </w:p>
    <w:p w14:paraId="3770A8CE" w14:textId="77777777" w:rsidR="00DB7BAC" w:rsidRDefault="00DB7BAC">
      <w:pPr>
        <w:rPr>
          <w:b/>
          <w:sz w:val="52"/>
        </w:rPr>
      </w:pPr>
      <w:r>
        <w:rPr>
          <w:b/>
          <w:sz w:val="52"/>
        </w:rPr>
        <w:br w:type="page"/>
      </w:r>
    </w:p>
    <w:p w14:paraId="0DBC764A" w14:textId="77777777" w:rsidR="007344DF" w:rsidRDefault="007344DF" w:rsidP="007344DF">
      <w:pPr>
        <w:pStyle w:val="Heading2"/>
        <w:rPr>
          <w:rFonts w:eastAsia="Times New Roman"/>
        </w:rPr>
      </w:pPr>
      <w:bookmarkStart w:id="30" w:name="_Toc2243506"/>
      <w:r>
        <w:rPr>
          <w:rFonts w:eastAsia="Times New Roman"/>
        </w:rPr>
        <w:t>E1. BASELINE</w:t>
      </w:r>
      <w:bookmarkEnd w:id="30"/>
    </w:p>
    <w:p w14:paraId="1212B507" w14:textId="77777777" w:rsidR="007344DF" w:rsidRPr="00886020" w:rsidRDefault="007344DF" w:rsidP="007344DF">
      <w:pPr>
        <w:rPr>
          <w:iCs/>
        </w:rPr>
      </w:pPr>
    </w:p>
    <w:p w14:paraId="2DB97D10" w14:textId="26F91A64" w:rsidR="00D43E80" w:rsidRDefault="007344DF" w:rsidP="007C068D">
      <w:pPr>
        <w:rPr>
          <w:iCs/>
        </w:rPr>
      </w:pPr>
      <w:r>
        <w:rPr>
          <w:iCs/>
        </w:rPr>
        <w:t xml:space="preserve">Baseline analysis began with a forest carbon inventory of the project area, conducted </w:t>
      </w:r>
      <w:r w:rsidR="00D10931">
        <w:t xml:space="preserve">from </w:t>
      </w:r>
      <w:r w:rsidR="0091672D">
        <w:t>March to April 2020</w:t>
      </w:r>
      <w:r>
        <w:rPr>
          <w:iCs/>
        </w:rPr>
        <w:t xml:space="preserve">. The inventory </w:t>
      </w:r>
      <w:r w:rsidR="00D10931">
        <w:t xml:space="preserve">employed a systematic, stratified </w:t>
      </w:r>
      <w:r w:rsidR="00CC3511">
        <w:t>sample design with nested fixed-</w:t>
      </w:r>
      <w:r w:rsidR="00D10931">
        <w:t>radius plots</w:t>
      </w:r>
      <w:r>
        <w:rPr>
          <w:iCs/>
        </w:rPr>
        <w:t>; field measurement protocols are documented in “</w:t>
      </w:r>
      <w:r w:rsidR="0091672D" w:rsidRPr="0091672D">
        <w:rPr>
          <w:iCs/>
        </w:rPr>
        <w:t xml:space="preserve">FINAL UTIA forest C inventory SOPs </w:t>
      </w:r>
      <w:r w:rsidR="00FE3C90">
        <w:rPr>
          <w:iCs/>
        </w:rPr>
        <w:t>*</w:t>
      </w:r>
      <w:r>
        <w:rPr>
          <w:iCs/>
        </w:rPr>
        <w:t xml:space="preserve">”. </w:t>
      </w:r>
      <w:r w:rsidR="00D43E80" w:rsidRPr="00C8664C">
        <w:rPr>
          <w:rFonts w:cstheme="minorHAnsi"/>
        </w:rPr>
        <w:t xml:space="preserve">Minimum diameter at breast height (dbh) for live trees </w:t>
      </w:r>
      <w:r w:rsidR="0091672D">
        <w:rPr>
          <w:rFonts w:cstheme="minorHAnsi"/>
        </w:rPr>
        <w:t>was set at 1” and for standing dead wood was set at 5</w:t>
      </w:r>
      <w:r w:rsidR="00D43E80" w:rsidRPr="00C8664C">
        <w:rPr>
          <w:rFonts w:cstheme="minorHAnsi"/>
        </w:rPr>
        <w:t>”.</w:t>
      </w:r>
      <w:r w:rsidR="009509EB">
        <w:rPr>
          <w:rFonts w:cstheme="minorHAnsi"/>
        </w:rPr>
        <w:t xml:space="preserve"> </w:t>
      </w:r>
      <w:r w:rsidR="0035100C">
        <w:rPr>
          <w:rFonts w:cstheme="minorHAnsi"/>
        </w:rPr>
        <w:t xml:space="preserve">Panther Creek Forestry, LLC </w:t>
      </w:r>
      <w:r w:rsidR="0091672D">
        <w:rPr>
          <w:rFonts w:cstheme="minorHAnsi"/>
        </w:rPr>
        <w:t>carried out the field work</w:t>
      </w:r>
      <w:r w:rsidR="009509EB">
        <w:rPr>
          <w:rFonts w:cstheme="minorHAnsi"/>
        </w:rPr>
        <w:t>.</w:t>
      </w:r>
    </w:p>
    <w:p w14:paraId="3161A7A7" w14:textId="27502D6B" w:rsidR="009924BF" w:rsidRPr="009924BF" w:rsidRDefault="009924BF" w:rsidP="009924BF">
      <w:pPr>
        <w:rPr>
          <w:rFonts w:cstheme="minorHAnsi"/>
          <w:color w:val="0D0D0D" w:themeColor="text1" w:themeTint="F2"/>
        </w:rPr>
      </w:pPr>
      <w:r w:rsidRPr="009924BF">
        <w:rPr>
          <w:rFonts w:cstheme="minorHAnsi"/>
          <w:color w:val="0D0D0D" w:themeColor="text1" w:themeTint="F2"/>
        </w:rPr>
        <w:t>Strata were delineated to conform with parcel boundaries</w:t>
      </w:r>
      <w:r>
        <w:rPr>
          <w:rFonts w:cstheme="minorHAnsi"/>
          <w:color w:val="0D0D0D" w:themeColor="text1" w:themeTint="F2"/>
        </w:rPr>
        <w:t xml:space="preserve"> (management units)</w:t>
      </w:r>
      <w:r w:rsidRPr="009924BF">
        <w:rPr>
          <w:rFonts w:cstheme="minorHAnsi"/>
          <w:color w:val="0D0D0D" w:themeColor="text1" w:themeTint="F2"/>
        </w:rPr>
        <w:t>, and to further delineate mature hardwoods and young (approximately 10-20 years old) pines on the Highland Rim property. The Nature Conservancy produced the initial stratification using base GIS layers provided by UT,</w:t>
      </w:r>
      <w:r>
        <w:rPr>
          <w:rFonts w:cstheme="minorHAnsi"/>
          <w:color w:val="0D0D0D" w:themeColor="text1" w:themeTint="F2"/>
        </w:rPr>
        <w:t xml:space="preserve"> </w:t>
      </w:r>
      <w:r w:rsidRPr="008D4DD8">
        <w:rPr>
          <w:rFonts w:cstheme="minorHAnsi"/>
          <w:color w:val="0D0D0D" w:themeColor="text1" w:themeTint="F2"/>
        </w:rPr>
        <w:t xml:space="preserve">developed from stand typing </w:t>
      </w:r>
      <w:r>
        <w:t xml:space="preserve">determined by a combination of aerial imagery evaluation and field-truthing. Boundaries were </w:t>
      </w:r>
      <w:r w:rsidRPr="009924BF">
        <w:rPr>
          <w:rFonts w:cstheme="minorHAnsi"/>
          <w:color w:val="0D0D0D" w:themeColor="text1" w:themeTint="F2"/>
        </w:rPr>
        <w:t>subsequently refined referencing Google Earth imagery and in further consultation with UT (regarding stand histories and timber sales). Property boundaries were confirmed against county property parcel maps. Non-forest areas were delineated and excluded from the inventory (project) area referencing Google Earth imagery and input from UT staff</w:t>
      </w:r>
      <w:r>
        <w:rPr>
          <w:rFonts w:cstheme="minorHAnsi"/>
          <w:color w:val="0D0D0D" w:themeColor="text1" w:themeTint="F2"/>
        </w:rPr>
        <w:t xml:space="preserve"> (see also above Section </w:t>
      </w:r>
      <w:r w:rsidR="00097542">
        <w:rPr>
          <w:rFonts w:cstheme="minorHAnsi"/>
          <w:color w:val="0D0D0D" w:themeColor="text1" w:themeTint="F2"/>
        </w:rPr>
        <w:t>B3</w:t>
      </w:r>
      <w:r>
        <w:rPr>
          <w:rFonts w:cstheme="minorHAnsi"/>
          <w:color w:val="0D0D0D" w:themeColor="text1" w:themeTint="F2"/>
        </w:rPr>
        <w:t>)</w:t>
      </w:r>
      <w:r w:rsidRPr="009924BF">
        <w:rPr>
          <w:rFonts w:cstheme="minorHAnsi"/>
          <w:color w:val="0D0D0D" w:themeColor="text1" w:themeTint="F2"/>
        </w:rPr>
        <w:t xml:space="preserve">. </w:t>
      </w:r>
    </w:p>
    <w:p w14:paraId="2F6BE901" w14:textId="6F8EA51C" w:rsidR="00046536" w:rsidRDefault="00EF5BE3" w:rsidP="00046536">
      <w:r>
        <w:rPr>
          <w:rFonts w:cstheme="minorHAnsi"/>
          <w:color w:val="222222"/>
          <w:shd w:val="clear" w:color="auto" w:fill="FFFFFF"/>
        </w:rPr>
        <w:t>The final stratific</w:t>
      </w:r>
      <w:r w:rsidR="0081343F">
        <w:rPr>
          <w:rFonts w:cstheme="minorHAnsi"/>
          <w:color w:val="222222"/>
          <w:shd w:val="clear" w:color="auto" w:fill="FFFFFF"/>
        </w:rPr>
        <w:t>ation is illustrated in Figure A</w:t>
      </w:r>
      <w:r>
        <w:rPr>
          <w:rFonts w:cstheme="minorHAnsi"/>
          <w:color w:val="222222"/>
          <w:shd w:val="clear" w:color="auto" w:fill="FFFFFF"/>
        </w:rPr>
        <w:t xml:space="preserve">1 </w:t>
      </w:r>
      <w:r w:rsidR="006E17FC">
        <w:rPr>
          <w:rFonts w:cstheme="minorHAnsi"/>
          <w:color w:val="222222"/>
          <w:shd w:val="clear" w:color="auto" w:fill="FFFFFF"/>
        </w:rPr>
        <w:t>and detailed in Table E1</w:t>
      </w:r>
      <w:r>
        <w:rPr>
          <w:rFonts w:cstheme="minorHAnsi"/>
          <w:color w:val="222222"/>
          <w:shd w:val="clear" w:color="auto" w:fill="FFFFFF"/>
        </w:rPr>
        <w:t>.</w:t>
      </w:r>
      <w:r w:rsidR="006E17FC">
        <w:rPr>
          <w:rFonts w:cstheme="minorHAnsi"/>
          <w:color w:val="222222"/>
          <w:shd w:val="clear" w:color="auto" w:fill="FFFFFF"/>
        </w:rPr>
        <w:t xml:space="preserve"> </w:t>
      </w:r>
      <w:r w:rsidR="00823306">
        <w:rPr>
          <w:rFonts w:cstheme="minorHAnsi"/>
          <w:color w:val="222222"/>
          <w:shd w:val="clear" w:color="auto" w:fill="FFFFFF"/>
        </w:rPr>
        <w:t>Details on the sample design and data analysis are documented in “</w:t>
      </w:r>
      <w:r w:rsidR="00823306" w:rsidRPr="00823306">
        <w:rPr>
          <w:rFonts w:cstheme="minorHAnsi"/>
          <w:color w:val="222222"/>
          <w:shd w:val="clear" w:color="auto" w:fill="FFFFFF"/>
        </w:rPr>
        <w:t>UT inventory results 2020</w:t>
      </w:r>
      <w:r w:rsidR="00FE3C90">
        <w:rPr>
          <w:rFonts w:cstheme="minorHAnsi"/>
          <w:color w:val="222222"/>
          <w:shd w:val="clear" w:color="auto" w:fill="FFFFFF"/>
        </w:rPr>
        <w:t>*</w:t>
      </w:r>
      <w:r w:rsidR="00823306">
        <w:rPr>
          <w:rFonts w:cstheme="minorHAnsi"/>
          <w:color w:val="222222"/>
          <w:shd w:val="clear" w:color="auto" w:fill="FFFFFF"/>
        </w:rPr>
        <w:t>.</w:t>
      </w:r>
      <w:r w:rsidR="00800A34">
        <w:rPr>
          <w:rFonts w:cstheme="minorHAnsi"/>
          <w:color w:val="222222"/>
          <w:shd w:val="clear" w:color="auto" w:fill="FFFFFF"/>
        </w:rPr>
        <w:t>doc</w:t>
      </w:r>
      <w:r w:rsidR="00823306">
        <w:rPr>
          <w:rFonts w:cstheme="minorHAnsi"/>
          <w:color w:val="222222"/>
          <w:shd w:val="clear" w:color="auto" w:fill="FFFFFF"/>
        </w:rPr>
        <w:t>”</w:t>
      </w:r>
      <w:r w:rsidR="00800A34">
        <w:rPr>
          <w:rFonts w:cstheme="minorHAnsi"/>
          <w:color w:val="222222"/>
          <w:shd w:val="clear" w:color="auto" w:fill="FFFFFF"/>
        </w:rPr>
        <w:t xml:space="preserve"> and “</w:t>
      </w:r>
      <w:r w:rsidR="00800A34" w:rsidRPr="00800A34">
        <w:rPr>
          <w:rFonts w:cstheme="minorHAnsi"/>
          <w:color w:val="222222"/>
          <w:shd w:val="clear" w:color="auto" w:fill="FFFFFF"/>
        </w:rPr>
        <w:t>UTK inventory calcs and stats</w:t>
      </w:r>
      <w:r w:rsidR="00FE3C90">
        <w:rPr>
          <w:rFonts w:cstheme="minorHAnsi"/>
          <w:color w:val="222222"/>
          <w:shd w:val="clear" w:color="auto" w:fill="FFFFFF"/>
        </w:rPr>
        <w:t>*</w:t>
      </w:r>
      <w:r w:rsidR="00800A34">
        <w:rPr>
          <w:rFonts w:cstheme="minorHAnsi"/>
          <w:color w:val="222222"/>
          <w:shd w:val="clear" w:color="auto" w:fill="FFFFFF"/>
        </w:rPr>
        <w:t>.xlsx”.</w:t>
      </w:r>
      <w:r w:rsidR="00420E9F">
        <w:rPr>
          <w:rFonts w:cstheme="minorHAnsi"/>
          <w:color w:val="222222"/>
          <w:shd w:val="clear" w:color="auto" w:fill="FFFFFF"/>
        </w:rPr>
        <w:t xml:space="preserve"> The Highland Rim – regen (HR_RG) stratum was regenerated in 2014, and was not inventoried (i.e. conservatively assumed to be equal to zero measurable biomass as of the November 2019 start date).</w:t>
      </w:r>
    </w:p>
    <w:p w14:paraId="261269D8" w14:textId="0FC0D076" w:rsidR="00490812" w:rsidRPr="00490812" w:rsidRDefault="00490812" w:rsidP="00046536">
      <w:pPr>
        <w:rPr>
          <w:b/>
        </w:rPr>
      </w:pPr>
      <w:r w:rsidRPr="00490812">
        <w:rPr>
          <w:b/>
        </w:rPr>
        <w:t>Table E1.</w:t>
      </w:r>
      <w:r w:rsidR="00933936">
        <w:rPr>
          <w:b/>
        </w:rPr>
        <w:t xml:space="preserve"> </w:t>
      </w:r>
      <w:r w:rsidR="00823306">
        <w:rPr>
          <w:b/>
        </w:rPr>
        <w:t xml:space="preserve">UT IFM project </w:t>
      </w:r>
      <w:r w:rsidR="00933936">
        <w:rPr>
          <w:b/>
        </w:rPr>
        <w:t>inventory design.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8"/>
        <w:gridCol w:w="1168"/>
        <w:gridCol w:w="1169"/>
        <w:gridCol w:w="1169"/>
        <w:gridCol w:w="1169"/>
        <w:gridCol w:w="1169"/>
        <w:gridCol w:w="1169"/>
        <w:gridCol w:w="1169"/>
      </w:tblGrid>
      <w:tr w:rsidR="00D15BF3" w:rsidRPr="00FE744C" w14:paraId="4486D25A" w14:textId="77777777" w:rsidTr="008008A1">
        <w:trPr>
          <w:trHeight w:val="578"/>
        </w:trPr>
        <w:tc>
          <w:tcPr>
            <w:tcW w:w="625" w:type="pct"/>
            <w:shd w:val="clear" w:color="auto" w:fill="auto"/>
            <w:hideMark/>
          </w:tcPr>
          <w:p w14:paraId="2A4D1BCD" w14:textId="6A545B4C" w:rsidR="00D15BF3" w:rsidRPr="00FE744C" w:rsidRDefault="00D15BF3" w:rsidP="00D15BF3">
            <w:pPr>
              <w:rPr>
                <w:rFonts w:ascii="Palatino Linotype" w:eastAsia="Times New Roman" w:hAnsi="Palatino Linotype" w:cs="Calibri"/>
                <w:sz w:val="20"/>
                <w:szCs w:val="20"/>
              </w:rPr>
            </w:pPr>
            <w:r>
              <w:rPr>
                <w:rFonts w:ascii="Palatino Linotype" w:eastAsia="Times New Roman" w:hAnsi="Palatino Linotype" w:cs="Calibri"/>
                <w:b/>
                <w:sz w:val="20"/>
                <w:szCs w:val="20"/>
              </w:rPr>
              <w:t>Strata</w:t>
            </w:r>
          </w:p>
        </w:tc>
        <w:tc>
          <w:tcPr>
            <w:tcW w:w="625" w:type="pct"/>
            <w:vAlign w:val="bottom"/>
          </w:tcPr>
          <w:p w14:paraId="49B453AA" w14:textId="77777777" w:rsidR="00D15BF3" w:rsidRPr="00C23DE3" w:rsidRDefault="00D15BF3" w:rsidP="00D15BF3">
            <w:pPr>
              <w:rPr>
                <w:rFonts w:ascii="Palatino Linotype" w:eastAsia="Times New Roman" w:hAnsi="Palatino Linotype" w:cs="Calibri"/>
                <w:b/>
                <w:sz w:val="20"/>
                <w:szCs w:val="20"/>
              </w:rPr>
            </w:pPr>
            <w:r w:rsidRPr="00C23DE3">
              <w:rPr>
                <w:rFonts w:ascii="Palatino Linotype" w:eastAsia="Times New Roman" w:hAnsi="Palatino Linotype" w:cs="Calibri"/>
                <w:b/>
                <w:sz w:val="20"/>
                <w:szCs w:val="20"/>
              </w:rPr>
              <w:t>Cumberland Forest – North</w:t>
            </w:r>
          </w:p>
          <w:p w14:paraId="25FA774D" w14:textId="77777777" w:rsidR="00D15BF3" w:rsidRPr="00C23DE3" w:rsidRDefault="00D15BF3" w:rsidP="00D15BF3">
            <w:pPr>
              <w:rPr>
                <w:rFonts w:ascii="Palatino Linotype" w:eastAsia="Times New Roman" w:hAnsi="Palatino Linotype" w:cs="Calibri"/>
                <w:b/>
                <w:sz w:val="20"/>
                <w:szCs w:val="20"/>
              </w:rPr>
            </w:pPr>
          </w:p>
          <w:p w14:paraId="7D36F42F" w14:textId="14BF96F2" w:rsidR="00D15BF3" w:rsidRPr="00C23DE3" w:rsidRDefault="00D15BF3" w:rsidP="00D15BF3">
            <w:pPr>
              <w:rPr>
                <w:rFonts w:ascii="Palatino Linotype" w:eastAsia="Times New Roman" w:hAnsi="Palatino Linotype" w:cs="Calibri"/>
                <w:b/>
                <w:sz w:val="20"/>
                <w:szCs w:val="20"/>
              </w:rPr>
            </w:pPr>
            <w:r w:rsidRPr="0097735C">
              <w:rPr>
                <w:rFonts w:ascii="Palatino Linotype" w:eastAsia="Times New Roman" w:hAnsi="Palatino Linotype" w:cs="Calibri"/>
                <w:b/>
                <w:sz w:val="20"/>
                <w:szCs w:val="20"/>
              </w:rPr>
              <w:t>CN</w:t>
            </w:r>
          </w:p>
        </w:tc>
        <w:tc>
          <w:tcPr>
            <w:tcW w:w="625" w:type="pct"/>
            <w:vAlign w:val="bottom"/>
          </w:tcPr>
          <w:p w14:paraId="41D7F272" w14:textId="77777777" w:rsidR="00D15BF3" w:rsidRPr="00C23DE3" w:rsidRDefault="00D15BF3" w:rsidP="00D15BF3">
            <w:pPr>
              <w:rPr>
                <w:rFonts w:ascii="Palatino Linotype" w:eastAsia="Times New Roman" w:hAnsi="Palatino Linotype" w:cs="Calibri"/>
                <w:b/>
                <w:sz w:val="20"/>
                <w:szCs w:val="20"/>
              </w:rPr>
            </w:pPr>
            <w:r w:rsidRPr="00C23DE3">
              <w:rPr>
                <w:rFonts w:ascii="Palatino Linotype" w:eastAsia="Times New Roman" w:hAnsi="Palatino Linotype" w:cs="Calibri"/>
                <w:b/>
                <w:sz w:val="20"/>
                <w:szCs w:val="20"/>
              </w:rPr>
              <w:t>Cumberland Forest – South</w:t>
            </w:r>
          </w:p>
          <w:p w14:paraId="147CC89F" w14:textId="77777777" w:rsidR="00D15BF3" w:rsidRPr="00C23DE3" w:rsidRDefault="00D15BF3" w:rsidP="00D15BF3">
            <w:pPr>
              <w:rPr>
                <w:rFonts w:ascii="Palatino Linotype" w:eastAsia="Times New Roman" w:hAnsi="Palatino Linotype" w:cs="Calibri"/>
                <w:b/>
                <w:sz w:val="20"/>
                <w:szCs w:val="20"/>
              </w:rPr>
            </w:pPr>
          </w:p>
          <w:p w14:paraId="51D09CC7" w14:textId="12294100" w:rsidR="00D15BF3" w:rsidRPr="00C23DE3" w:rsidRDefault="00D15BF3" w:rsidP="00D15BF3">
            <w:pPr>
              <w:rPr>
                <w:rFonts w:ascii="Palatino Linotype" w:eastAsia="Times New Roman" w:hAnsi="Palatino Linotype" w:cs="Calibri"/>
                <w:b/>
                <w:sz w:val="20"/>
                <w:szCs w:val="20"/>
              </w:rPr>
            </w:pPr>
            <w:r w:rsidRPr="0097735C">
              <w:rPr>
                <w:rFonts w:ascii="Palatino Linotype" w:eastAsia="Times New Roman" w:hAnsi="Palatino Linotype" w:cs="Calibri"/>
                <w:b/>
                <w:sz w:val="20"/>
                <w:szCs w:val="20"/>
              </w:rPr>
              <w:t>CS</w:t>
            </w:r>
          </w:p>
        </w:tc>
        <w:tc>
          <w:tcPr>
            <w:tcW w:w="625" w:type="pct"/>
            <w:vAlign w:val="bottom"/>
          </w:tcPr>
          <w:p w14:paraId="0B16324D" w14:textId="608E6549" w:rsidR="00D15BF3" w:rsidRPr="00C23DE3" w:rsidRDefault="00D15BF3" w:rsidP="00D15BF3">
            <w:pPr>
              <w:rPr>
                <w:rFonts w:ascii="Palatino Linotype" w:eastAsia="Times New Roman" w:hAnsi="Palatino Linotype" w:cs="Calibri"/>
                <w:b/>
                <w:sz w:val="20"/>
                <w:szCs w:val="20"/>
              </w:rPr>
            </w:pPr>
            <w:r w:rsidRPr="00C23DE3">
              <w:rPr>
                <w:rFonts w:ascii="Palatino Linotype" w:eastAsia="Times New Roman" w:hAnsi="Palatino Linotype" w:cs="Calibri"/>
                <w:b/>
                <w:sz w:val="20"/>
                <w:szCs w:val="20"/>
              </w:rPr>
              <w:t>Oak Ridge</w:t>
            </w:r>
          </w:p>
          <w:p w14:paraId="6D946559" w14:textId="77777777" w:rsidR="00D15BF3" w:rsidRDefault="00D15BF3" w:rsidP="00D15BF3">
            <w:pPr>
              <w:rPr>
                <w:rFonts w:ascii="Palatino Linotype" w:eastAsia="Times New Roman" w:hAnsi="Palatino Linotype" w:cs="Calibri"/>
                <w:b/>
                <w:sz w:val="20"/>
                <w:szCs w:val="20"/>
              </w:rPr>
            </w:pPr>
          </w:p>
          <w:p w14:paraId="7100FC11" w14:textId="77777777" w:rsidR="00D15BF3" w:rsidRPr="00C23DE3" w:rsidRDefault="00D15BF3" w:rsidP="00D15BF3">
            <w:pPr>
              <w:rPr>
                <w:rFonts w:ascii="Palatino Linotype" w:eastAsia="Times New Roman" w:hAnsi="Palatino Linotype" w:cs="Calibri"/>
                <w:b/>
                <w:sz w:val="20"/>
                <w:szCs w:val="20"/>
              </w:rPr>
            </w:pPr>
          </w:p>
          <w:p w14:paraId="4909EBC2" w14:textId="4DD31861" w:rsidR="00D15BF3" w:rsidRPr="00C23DE3" w:rsidRDefault="00D15BF3" w:rsidP="00D15BF3">
            <w:pPr>
              <w:rPr>
                <w:rFonts w:ascii="Palatino Linotype" w:eastAsia="Times New Roman" w:hAnsi="Palatino Linotype" w:cs="Calibri"/>
                <w:b/>
                <w:sz w:val="20"/>
                <w:szCs w:val="20"/>
              </w:rPr>
            </w:pPr>
            <w:r w:rsidRPr="0097735C">
              <w:rPr>
                <w:rFonts w:ascii="Palatino Linotype" w:eastAsia="Times New Roman" w:hAnsi="Palatino Linotype" w:cs="Calibri"/>
                <w:b/>
                <w:sz w:val="20"/>
                <w:szCs w:val="20"/>
              </w:rPr>
              <w:t>OR</w:t>
            </w:r>
          </w:p>
        </w:tc>
        <w:tc>
          <w:tcPr>
            <w:tcW w:w="625" w:type="pct"/>
            <w:shd w:val="clear" w:color="auto" w:fill="auto"/>
            <w:noWrap/>
            <w:vAlign w:val="bottom"/>
            <w:hideMark/>
          </w:tcPr>
          <w:p w14:paraId="6B30594B" w14:textId="3D9D7190" w:rsidR="00D15BF3" w:rsidRPr="00C23DE3" w:rsidRDefault="00D15BF3" w:rsidP="00D15BF3">
            <w:pPr>
              <w:rPr>
                <w:rFonts w:ascii="Palatino Linotype" w:eastAsia="Times New Roman" w:hAnsi="Palatino Linotype" w:cs="Calibri"/>
                <w:b/>
                <w:sz w:val="20"/>
                <w:szCs w:val="20"/>
              </w:rPr>
            </w:pPr>
            <w:r w:rsidRPr="00C23DE3">
              <w:rPr>
                <w:rFonts w:ascii="Palatino Linotype" w:eastAsia="Times New Roman" w:hAnsi="Palatino Linotype" w:cs="Calibri"/>
                <w:b/>
                <w:sz w:val="20"/>
                <w:szCs w:val="20"/>
              </w:rPr>
              <w:t>Highland Rim – hardwood</w:t>
            </w:r>
          </w:p>
          <w:p w14:paraId="38DE7993" w14:textId="77777777" w:rsidR="00D15BF3" w:rsidRPr="00C23DE3" w:rsidRDefault="00D15BF3" w:rsidP="00D15BF3">
            <w:pPr>
              <w:rPr>
                <w:rFonts w:ascii="Palatino Linotype" w:eastAsia="Times New Roman" w:hAnsi="Palatino Linotype" w:cs="Calibri"/>
                <w:b/>
                <w:sz w:val="20"/>
                <w:szCs w:val="20"/>
              </w:rPr>
            </w:pPr>
          </w:p>
          <w:p w14:paraId="49EAC276" w14:textId="77777777" w:rsidR="00D15BF3" w:rsidRPr="00FE744C" w:rsidRDefault="00D15BF3" w:rsidP="00D15BF3">
            <w:pPr>
              <w:rPr>
                <w:rFonts w:ascii="Calibri" w:eastAsia="Times New Roman" w:hAnsi="Calibri" w:cs="Calibri"/>
                <w:color w:val="000000"/>
              </w:rPr>
            </w:pPr>
            <w:r w:rsidRPr="0097735C">
              <w:rPr>
                <w:rFonts w:ascii="Palatino Linotype" w:eastAsia="Times New Roman" w:hAnsi="Palatino Linotype" w:cs="Calibri"/>
                <w:b/>
                <w:sz w:val="20"/>
                <w:szCs w:val="20"/>
              </w:rPr>
              <w:t>HR_HW</w:t>
            </w:r>
          </w:p>
        </w:tc>
        <w:tc>
          <w:tcPr>
            <w:tcW w:w="625" w:type="pct"/>
            <w:shd w:val="clear" w:color="auto" w:fill="auto"/>
            <w:noWrap/>
            <w:vAlign w:val="bottom"/>
            <w:hideMark/>
          </w:tcPr>
          <w:p w14:paraId="4E32FC56" w14:textId="77777777" w:rsidR="00D15BF3" w:rsidRPr="00C23DE3" w:rsidRDefault="00D15BF3" w:rsidP="00D15BF3">
            <w:pPr>
              <w:rPr>
                <w:rFonts w:ascii="Palatino Linotype" w:eastAsia="Times New Roman" w:hAnsi="Palatino Linotype" w:cs="Calibri"/>
                <w:b/>
                <w:sz w:val="20"/>
                <w:szCs w:val="20"/>
              </w:rPr>
            </w:pPr>
            <w:r w:rsidRPr="00C23DE3">
              <w:rPr>
                <w:rFonts w:ascii="Palatino Linotype" w:eastAsia="Times New Roman" w:hAnsi="Palatino Linotype" w:cs="Calibri"/>
                <w:b/>
                <w:sz w:val="20"/>
                <w:szCs w:val="20"/>
              </w:rPr>
              <w:t>Highland Rim – pine</w:t>
            </w:r>
          </w:p>
          <w:p w14:paraId="1507566C" w14:textId="77777777" w:rsidR="00D15BF3" w:rsidRPr="00C23DE3" w:rsidRDefault="00D15BF3" w:rsidP="00D15BF3">
            <w:pPr>
              <w:rPr>
                <w:rFonts w:ascii="Palatino Linotype" w:eastAsia="Times New Roman" w:hAnsi="Palatino Linotype" w:cs="Calibri"/>
                <w:b/>
                <w:sz w:val="20"/>
                <w:szCs w:val="20"/>
              </w:rPr>
            </w:pPr>
          </w:p>
          <w:p w14:paraId="558B2548" w14:textId="77777777" w:rsidR="00D15BF3" w:rsidRPr="00FE744C" w:rsidRDefault="00D15BF3" w:rsidP="00D15BF3">
            <w:pPr>
              <w:rPr>
                <w:rFonts w:ascii="Calibri" w:eastAsia="Times New Roman" w:hAnsi="Calibri" w:cs="Calibri"/>
                <w:color w:val="000000"/>
              </w:rPr>
            </w:pPr>
            <w:r w:rsidRPr="0097735C">
              <w:rPr>
                <w:rFonts w:ascii="Palatino Linotype" w:eastAsia="Times New Roman" w:hAnsi="Palatino Linotype" w:cs="Calibri"/>
                <w:b/>
                <w:sz w:val="20"/>
                <w:szCs w:val="20"/>
              </w:rPr>
              <w:t>HR_PI</w:t>
            </w:r>
          </w:p>
        </w:tc>
        <w:tc>
          <w:tcPr>
            <w:tcW w:w="625" w:type="pct"/>
          </w:tcPr>
          <w:p w14:paraId="71119698" w14:textId="691737D0" w:rsidR="00D15BF3" w:rsidRPr="00C23DE3" w:rsidRDefault="00D15BF3" w:rsidP="00D15BF3">
            <w:pPr>
              <w:rPr>
                <w:rFonts w:ascii="Palatino Linotype" w:eastAsia="Times New Roman" w:hAnsi="Palatino Linotype" w:cs="Calibri"/>
                <w:b/>
                <w:sz w:val="20"/>
                <w:szCs w:val="20"/>
              </w:rPr>
            </w:pPr>
            <w:r w:rsidRPr="00C23DE3">
              <w:rPr>
                <w:rFonts w:ascii="Palatino Linotype" w:eastAsia="Times New Roman" w:hAnsi="Palatino Linotype" w:cs="Calibri"/>
                <w:b/>
                <w:sz w:val="20"/>
                <w:szCs w:val="20"/>
              </w:rPr>
              <w:t xml:space="preserve">Highland Rim – </w:t>
            </w:r>
            <w:r>
              <w:rPr>
                <w:rFonts w:ascii="Palatino Linotype" w:eastAsia="Times New Roman" w:hAnsi="Palatino Linotype" w:cs="Calibri"/>
                <w:b/>
                <w:sz w:val="20"/>
                <w:szCs w:val="20"/>
              </w:rPr>
              <w:t>regen</w:t>
            </w:r>
          </w:p>
          <w:p w14:paraId="4ACB4BCA" w14:textId="77777777" w:rsidR="00D15BF3" w:rsidRPr="00C23DE3" w:rsidRDefault="00D15BF3" w:rsidP="00D15BF3">
            <w:pPr>
              <w:rPr>
                <w:rFonts w:ascii="Palatino Linotype" w:eastAsia="Times New Roman" w:hAnsi="Palatino Linotype" w:cs="Calibri"/>
                <w:b/>
                <w:sz w:val="20"/>
                <w:szCs w:val="20"/>
              </w:rPr>
            </w:pPr>
          </w:p>
          <w:p w14:paraId="39ADAD86" w14:textId="6DEB06AC" w:rsidR="00D15BF3" w:rsidRPr="00C23DE3" w:rsidRDefault="00D15BF3" w:rsidP="00D15BF3">
            <w:pPr>
              <w:rPr>
                <w:rFonts w:ascii="Palatino Linotype" w:eastAsia="Times New Roman" w:hAnsi="Palatino Linotype" w:cs="Calibri"/>
                <w:b/>
                <w:sz w:val="20"/>
                <w:szCs w:val="20"/>
              </w:rPr>
            </w:pPr>
            <w:r>
              <w:rPr>
                <w:rFonts w:ascii="Palatino Linotype" w:eastAsia="Times New Roman" w:hAnsi="Palatino Linotype" w:cs="Calibri"/>
                <w:b/>
                <w:sz w:val="20"/>
                <w:szCs w:val="20"/>
              </w:rPr>
              <w:t>HR_RG</w:t>
            </w:r>
          </w:p>
        </w:tc>
        <w:tc>
          <w:tcPr>
            <w:tcW w:w="625" w:type="pct"/>
            <w:shd w:val="clear" w:color="auto" w:fill="auto"/>
            <w:hideMark/>
          </w:tcPr>
          <w:p w14:paraId="2774BD17" w14:textId="77777777" w:rsidR="00D15BF3" w:rsidRPr="00FE744C" w:rsidRDefault="00D15BF3" w:rsidP="00D15BF3">
            <w:pPr>
              <w:jc w:val="center"/>
              <w:rPr>
                <w:rFonts w:ascii="Palatino Linotype" w:eastAsia="Times New Roman" w:hAnsi="Palatino Linotype" w:cs="Calibri"/>
                <w:sz w:val="20"/>
                <w:szCs w:val="20"/>
              </w:rPr>
            </w:pPr>
            <w:r w:rsidRPr="0097735C">
              <w:rPr>
                <w:rFonts w:ascii="Palatino Linotype" w:eastAsia="Times New Roman" w:hAnsi="Palatino Linotype" w:cs="Calibri"/>
                <w:b/>
                <w:sz w:val="20"/>
                <w:szCs w:val="20"/>
              </w:rPr>
              <w:t>Total</w:t>
            </w:r>
          </w:p>
        </w:tc>
      </w:tr>
      <w:tr w:rsidR="00D15BF3" w:rsidRPr="00FE744C" w14:paraId="6454074F" w14:textId="77777777" w:rsidTr="008008A1">
        <w:trPr>
          <w:trHeight w:val="285"/>
        </w:trPr>
        <w:tc>
          <w:tcPr>
            <w:tcW w:w="625" w:type="pct"/>
            <w:shd w:val="clear" w:color="auto" w:fill="auto"/>
            <w:hideMark/>
          </w:tcPr>
          <w:p w14:paraId="0340ACFA" w14:textId="77777777" w:rsidR="00D15BF3" w:rsidRPr="00FE744C" w:rsidRDefault="00D15BF3" w:rsidP="00D15BF3">
            <w:pPr>
              <w:rPr>
                <w:rFonts w:ascii="Palatino Linotype" w:eastAsia="Times New Roman" w:hAnsi="Palatino Linotype" w:cs="Calibri"/>
                <w:color w:val="000000"/>
                <w:sz w:val="20"/>
                <w:szCs w:val="20"/>
              </w:rPr>
            </w:pPr>
            <w:r w:rsidRPr="00FE744C">
              <w:rPr>
                <w:rFonts w:ascii="Palatino Linotype" w:eastAsia="Times New Roman" w:hAnsi="Palatino Linotype" w:cs="Calibri"/>
                <w:color w:val="000000"/>
                <w:sz w:val="20"/>
                <w:szCs w:val="20"/>
              </w:rPr>
              <w:t>Area (ac)</w:t>
            </w:r>
          </w:p>
        </w:tc>
        <w:tc>
          <w:tcPr>
            <w:tcW w:w="625" w:type="pct"/>
            <w:vAlign w:val="bottom"/>
          </w:tcPr>
          <w:p w14:paraId="5787BCEB" w14:textId="3D764505" w:rsidR="00D15BF3" w:rsidRPr="00D15BF3" w:rsidRDefault="00D15BF3" w:rsidP="00D15BF3">
            <w:pPr>
              <w:rPr>
                <w:rFonts w:ascii="Palatino Linotype" w:eastAsia="Times New Roman" w:hAnsi="Palatino Linotype" w:cs="Calibri"/>
                <w:color w:val="000000"/>
                <w:sz w:val="20"/>
                <w:szCs w:val="20"/>
              </w:rPr>
            </w:pPr>
            <w:r w:rsidRPr="00D15BF3">
              <w:rPr>
                <w:rFonts w:ascii="Palatino Linotype" w:eastAsia="Times New Roman" w:hAnsi="Palatino Linotype" w:cs="Calibri"/>
                <w:color w:val="000000"/>
                <w:sz w:val="20"/>
                <w:szCs w:val="20"/>
              </w:rPr>
              <w:t xml:space="preserve">    4,3</w:t>
            </w:r>
            <w:r w:rsidR="00FE3C90">
              <w:rPr>
                <w:rFonts w:ascii="Palatino Linotype" w:eastAsia="Times New Roman" w:hAnsi="Palatino Linotype" w:cs="Calibri"/>
                <w:color w:val="000000"/>
                <w:sz w:val="20"/>
                <w:szCs w:val="20"/>
              </w:rPr>
              <w:t>6</w:t>
            </w:r>
            <w:r w:rsidR="00621BE2">
              <w:rPr>
                <w:rFonts w:ascii="Palatino Linotype" w:eastAsia="Times New Roman" w:hAnsi="Palatino Linotype" w:cs="Calibri"/>
                <w:color w:val="000000"/>
                <w:sz w:val="20"/>
                <w:szCs w:val="20"/>
              </w:rPr>
              <w:t>3.0</w:t>
            </w:r>
          </w:p>
        </w:tc>
        <w:tc>
          <w:tcPr>
            <w:tcW w:w="625" w:type="pct"/>
            <w:vAlign w:val="bottom"/>
          </w:tcPr>
          <w:p w14:paraId="71E8CF57" w14:textId="2AE7E2FD" w:rsidR="00D15BF3" w:rsidRPr="00D15BF3" w:rsidRDefault="00D15BF3" w:rsidP="00D15BF3">
            <w:pPr>
              <w:rPr>
                <w:rFonts w:ascii="Palatino Linotype" w:eastAsia="Times New Roman" w:hAnsi="Palatino Linotype" w:cs="Calibri"/>
                <w:color w:val="000000"/>
                <w:sz w:val="20"/>
                <w:szCs w:val="20"/>
              </w:rPr>
            </w:pPr>
            <w:r w:rsidRPr="00D15BF3">
              <w:rPr>
                <w:rFonts w:ascii="Palatino Linotype" w:eastAsia="Times New Roman" w:hAnsi="Palatino Linotype" w:cs="Calibri"/>
                <w:color w:val="000000"/>
                <w:sz w:val="20"/>
                <w:szCs w:val="20"/>
              </w:rPr>
              <w:t xml:space="preserve">    3,994.3 </w:t>
            </w:r>
          </w:p>
        </w:tc>
        <w:tc>
          <w:tcPr>
            <w:tcW w:w="625" w:type="pct"/>
            <w:vAlign w:val="bottom"/>
          </w:tcPr>
          <w:p w14:paraId="1C3D1AF8" w14:textId="00B9D700" w:rsidR="00D15BF3" w:rsidRPr="00D15BF3" w:rsidRDefault="00D15BF3" w:rsidP="00D15BF3">
            <w:pPr>
              <w:rPr>
                <w:rFonts w:ascii="Palatino Linotype" w:eastAsia="Times New Roman" w:hAnsi="Palatino Linotype" w:cs="Calibri"/>
                <w:color w:val="000000"/>
                <w:sz w:val="20"/>
                <w:szCs w:val="20"/>
              </w:rPr>
            </w:pPr>
            <w:r w:rsidRPr="00D15BF3">
              <w:rPr>
                <w:rFonts w:ascii="Palatino Linotype" w:eastAsia="Times New Roman" w:hAnsi="Palatino Linotype" w:cs="Calibri"/>
                <w:color w:val="000000"/>
                <w:sz w:val="20"/>
                <w:szCs w:val="20"/>
              </w:rPr>
              <w:t xml:space="preserve">    2,145.5 </w:t>
            </w:r>
          </w:p>
        </w:tc>
        <w:tc>
          <w:tcPr>
            <w:tcW w:w="625" w:type="pct"/>
            <w:shd w:val="clear" w:color="auto" w:fill="auto"/>
            <w:vAlign w:val="bottom"/>
            <w:hideMark/>
          </w:tcPr>
          <w:p w14:paraId="6338A3F9" w14:textId="2D3DC8C1" w:rsidR="00D15BF3" w:rsidRPr="00D15BF3" w:rsidRDefault="00D15BF3" w:rsidP="00D15BF3">
            <w:pPr>
              <w:rPr>
                <w:rFonts w:ascii="Palatino Linotype" w:eastAsia="Times New Roman" w:hAnsi="Palatino Linotype" w:cs="Calibri"/>
                <w:color w:val="000000"/>
                <w:sz w:val="20"/>
                <w:szCs w:val="20"/>
              </w:rPr>
            </w:pPr>
            <w:r w:rsidRPr="00D15BF3">
              <w:rPr>
                <w:rFonts w:ascii="Palatino Linotype" w:eastAsia="Times New Roman" w:hAnsi="Palatino Linotype" w:cs="Calibri"/>
                <w:color w:val="000000"/>
                <w:sz w:val="20"/>
                <w:szCs w:val="20"/>
              </w:rPr>
              <w:t xml:space="preserve">       </w:t>
            </w:r>
            <w:r w:rsidR="008008A1">
              <w:rPr>
                <w:rFonts w:ascii="Palatino Linotype" w:eastAsia="Times New Roman" w:hAnsi="Palatino Linotype" w:cs="Calibri"/>
                <w:color w:val="000000"/>
                <w:sz w:val="20"/>
                <w:szCs w:val="20"/>
              </w:rPr>
              <w:t>505.5</w:t>
            </w:r>
          </w:p>
        </w:tc>
        <w:tc>
          <w:tcPr>
            <w:tcW w:w="625" w:type="pct"/>
            <w:shd w:val="clear" w:color="auto" w:fill="auto"/>
            <w:vAlign w:val="bottom"/>
            <w:hideMark/>
          </w:tcPr>
          <w:p w14:paraId="0EF7674C" w14:textId="3E908B6A" w:rsidR="00D15BF3" w:rsidRPr="00D15BF3" w:rsidRDefault="00D15BF3" w:rsidP="00D15BF3">
            <w:pPr>
              <w:rPr>
                <w:rFonts w:ascii="Palatino Linotype" w:eastAsia="Times New Roman" w:hAnsi="Palatino Linotype" w:cs="Calibri"/>
                <w:color w:val="000000"/>
                <w:sz w:val="20"/>
                <w:szCs w:val="20"/>
              </w:rPr>
            </w:pPr>
            <w:r w:rsidRPr="00D15BF3">
              <w:rPr>
                <w:rFonts w:ascii="Palatino Linotype" w:eastAsia="Times New Roman" w:hAnsi="Palatino Linotype" w:cs="Calibri"/>
                <w:color w:val="000000"/>
                <w:sz w:val="20"/>
                <w:szCs w:val="20"/>
              </w:rPr>
              <w:t xml:space="preserve">      </w:t>
            </w:r>
            <w:r w:rsidR="008008A1">
              <w:rPr>
                <w:rFonts w:ascii="Palatino Linotype" w:eastAsia="Times New Roman" w:hAnsi="Palatino Linotype" w:cs="Calibri"/>
                <w:color w:val="000000"/>
                <w:sz w:val="20"/>
                <w:szCs w:val="20"/>
              </w:rPr>
              <w:t>254.3</w:t>
            </w:r>
          </w:p>
        </w:tc>
        <w:tc>
          <w:tcPr>
            <w:tcW w:w="625" w:type="pct"/>
            <w:vAlign w:val="bottom"/>
          </w:tcPr>
          <w:p w14:paraId="6D0E3BAB" w14:textId="0EA8A38F" w:rsidR="00D15BF3" w:rsidRPr="00D15BF3" w:rsidRDefault="00D15BF3" w:rsidP="00D15BF3">
            <w:pPr>
              <w:rPr>
                <w:rFonts w:ascii="Palatino Linotype" w:eastAsia="Times New Roman" w:hAnsi="Palatino Linotype" w:cs="Calibri"/>
                <w:color w:val="000000"/>
                <w:sz w:val="20"/>
                <w:szCs w:val="20"/>
              </w:rPr>
            </w:pPr>
            <w:r w:rsidRPr="00D15BF3">
              <w:rPr>
                <w:rFonts w:ascii="Palatino Linotype" w:eastAsia="Times New Roman" w:hAnsi="Palatino Linotype" w:cs="Calibri"/>
                <w:color w:val="000000"/>
                <w:sz w:val="20"/>
                <w:szCs w:val="20"/>
              </w:rPr>
              <w:t xml:space="preserve">       </w:t>
            </w:r>
            <w:r w:rsidR="008008A1">
              <w:rPr>
                <w:rFonts w:ascii="Palatino Linotype" w:eastAsia="Times New Roman" w:hAnsi="Palatino Linotype" w:cs="Calibri"/>
                <w:color w:val="000000"/>
                <w:sz w:val="20"/>
                <w:szCs w:val="20"/>
              </w:rPr>
              <w:t>101.3</w:t>
            </w:r>
            <w:r w:rsidRPr="00D15BF3">
              <w:rPr>
                <w:rFonts w:ascii="Palatino Linotype" w:eastAsia="Times New Roman" w:hAnsi="Palatino Linotype" w:cs="Calibri"/>
                <w:color w:val="000000"/>
                <w:sz w:val="20"/>
                <w:szCs w:val="20"/>
              </w:rPr>
              <w:t xml:space="preserve"> </w:t>
            </w:r>
          </w:p>
        </w:tc>
        <w:tc>
          <w:tcPr>
            <w:tcW w:w="625" w:type="pct"/>
            <w:shd w:val="clear" w:color="auto" w:fill="auto"/>
            <w:vAlign w:val="bottom"/>
            <w:hideMark/>
          </w:tcPr>
          <w:p w14:paraId="56B7CD83" w14:textId="7D42B0B9" w:rsidR="00D15BF3" w:rsidRPr="00D15BF3" w:rsidRDefault="00D15BF3" w:rsidP="00D15BF3">
            <w:pPr>
              <w:rPr>
                <w:rFonts w:ascii="Palatino Linotype" w:eastAsia="Times New Roman" w:hAnsi="Palatino Linotype" w:cs="Calibri"/>
                <w:color w:val="000000"/>
                <w:sz w:val="20"/>
                <w:szCs w:val="20"/>
              </w:rPr>
            </w:pPr>
            <w:r w:rsidRPr="00D15BF3">
              <w:rPr>
                <w:rFonts w:ascii="Palatino Linotype" w:eastAsia="Times New Roman" w:hAnsi="Palatino Linotype" w:cs="Calibri"/>
                <w:color w:val="000000"/>
                <w:sz w:val="20"/>
                <w:szCs w:val="20"/>
              </w:rPr>
              <w:t xml:space="preserve">  11,</w:t>
            </w:r>
            <w:r w:rsidR="008008A1">
              <w:rPr>
                <w:rFonts w:ascii="Palatino Linotype" w:eastAsia="Times New Roman" w:hAnsi="Palatino Linotype" w:cs="Calibri"/>
                <w:color w:val="000000"/>
                <w:sz w:val="20"/>
                <w:szCs w:val="20"/>
              </w:rPr>
              <w:t>3</w:t>
            </w:r>
            <w:r w:rsidR="00FE3C90">
              <w:rPr>
                <w:rFonts w:ascii="Palatino Linotype" w:eastAsia="Times New Roman" w:hAnsi="Palatino Linotype" w:cs="Calibri"/>
                <w:color w:val="000000"/>
                <w:sz w:val="20"/>
                <w:szCs w:val="20"/>
              </w:rPr>
              <w:t>6</w:t>
            </w:r>
            <w:r w:rsidR="00621BE2">
              <w:rPr>
                <w:rFonts w:ascii="Palatino Linotype" w:eastAsia="Times New Roman" w:hAnsi="Palatino Linotype" w:cs="Calibri"/>
                <w:color w:val="000000"/>
                <w:sz w:val="20"/>
                <w:szCs w:val="20"/>
              </w:rPr>
              <w:t>3.8</w:t>
            </w:r>
          </w:p>
        </w:tc>
      </w:tr>
      <w:tr w:rsidR="00D15BF3" w:rsidRPr="00FE744C" w14:paraId="595365C9" w14:textId="77777777" w:rsidTr="008008A1">
        <w:trPr>
          <w:trHeight w:val="300"/>
        </w:trPr>
        <w:tc>
          <w:tcPr>
            <w:tcW w:w="625" w:type="pct"/>
            <w:shd w:val="clear" w:color="auto" w:fill="auto"/>
          </w:tcPr>
          <w:p w14:paraId="2B1287C7" w14:textId="7E1B4991" w:rsidR="00D15BF3" w:rsidRDefault="00D15BF3" w:rsidP="00D15BF3">
            <w:pPr>
              <w:rPr>
                <w:rFonts w:ascii="Palatino Linotype" w:eastAsia="Times New Roman" w:hAnsi="Palatino Linotype" w:cs="Calibri"/>
                <w:bCs/>
                <w:color w:val="000000"/>
                <w:sz w:val="20"/>
                <w:szCs w:val="20"/>
              </w:rPr>
            </w:pPr>
            <w:r>
              <w:rPr>
                <w:rFonts w:ascii="Palatino Linotype" w:eastAsia="Times New Roman" w:hAnsi="Palatino Linotype" w:cs="Calibri"/>
                <w:b/>
                <w:bCs/>
                <w:color w:val="000000"/>
                <w:sz w:val="20"/>
                <w:szCs w:val="20"/>
              </w:rPr>
              <w:t>SAMPLE SIZE</w:t>
            </w:r>
          </w:p>
        </w:tc>
        <w:tc>
          <w:tcPr>
            <w:tcW w:w="625" w:type="pct"/>
          </w:tcPr>
          <w:p w14:paraId="52AEC3EF" w14:textId="0282963B" w:rsidR="00D15BF3" w:rsidRDefault="00C40617" w:rsidP="00D15BF3">
            <w:pPr>
              <w:jc w:val="center"/>
              <w:rPr>
                <w:rFonts w:ascii="Palatino Linotype" w:eastAsia="Times New Roman" w:hAnsi="Palatino Linotype" w:cs="Calibri"/>
                <w:b/>
                <w:bCs/>
                <w:color w:val="000000"/>
                <w:sz w:val="20"/>
                <w:szCs w:val="20"/>
              </w:rPr>
            </w:pPr>
            <w:r>
              <w:rPr>
                <w:rFonts w:ascii="Palatino Linotype" w:eastAsia="Times New Roman" w:hAnsi="Palatino Linotype" w:cs="Calibri"/>
                <w:b/>
                <w:bCs/>
                <w:color w:val="000000"/>
                <w:sz w:val="20"/>
                <w:szCs w:val="20"/>
              </w:rPr>
              <w:t>5</w:t>
            </w:r>
            <w:r w:rsidR="00FE3C90">
              <w:rPr>
                <w:rFonts w:ascii="Palatino Linotype" w:eastAsia="Times New Roman" w:hAnsi="Palatino Linotype" w:cs="Calibri"/>
                <w:b/>
                <w:bCs/>
                <w:color w:val="000000"/>
                <w:sz w:val="20"/>
                <w:szCs w:val="20"/>
              </w:rPr>
              <w:t>6</w:t>
            </w:r>
          </w:p>
        </w:tc>
        <w:tc>
          <w:tcPr>
            <w:tcW w:w="625" w:type="pct"/>
          </w:tcPr>
          <w:p w14:paraId="12E23F88" w14:textId="5E5054A8" w:rsidR="00D15BF3" w:rsidRDefault="00C40617" w:rsidP="00D15BF3">
            <w:pPr>
              <w:jc w:val="center"/>
              <w:rPr>
                <w:rFonts w:ascii="Palatino Linotype" w:eastAsia="Times New Roman" w:hAnsi="Palatino Linotype" w:cs="Calibri"/>
                <w:b/>
                <w:bCs/>
                <w:color w:val="000000"/>
                <w:sz w:val="20"/>
                <w:szCs w:val="20"/>
              </w:rPr>
            </w:pPr>
            <w:r>
              <w:rPr>
                <w:rFonts w:ascii="Palatino Linotype" w:eastAsia="Times New Roman" w:hAnsi="Palatino Linotype" w:cs="Calibri"/>
                <w:b/>
                <w:bCs/>
                <w:color w:val="000000"/>
                <w:sz w:val="20"/>
                <w:szCs w:val="20"/>
              </w:rPr>
              <w:t>41</w:t>
            </w:r>
          </w:p>
        </w:tc>
        <w:tc>
          <w:tcPr>
            <w:tcW w:w="625" w:type="pct"/>
          </w:tcPr>
          <w:p w14:paraId="63F44C83" w14:textId="0B673ED6" w:rsidR="00D15BF3" w:rsidRDefault="00D15BF3" w:rsidP="00D15BF3">
            <w:pPr>
              <w:jc w:val="center"/>
              <w:rPr>
                <w:rFonts w:ascii="Palatino Linotype" w:eastAsia="Times New Roman" w:hAnsi="Palatino Linotype" w:cs="Calibri"/>
                <w:b/>
                <w:bCs/>
                <w:color w:val="000000"/>
                <w:sz w:val="20"/>
                <w:szCs w:val="20"/>
              </w:rPr>
            </w:pPr>
            <w:r>
              <w:rPr>
                <w:rFonts w:ascii="Palatino Linotype" w:eastAsia="Times New Roman" w:hAnsi="Palatino Linotype" w:cs="Calibri"/>
                <w:b/>
                <w:bCs/>
                <w:color w:val="000000"/>
                <w:sz w:val="20"/>
                <w:szCs w:val="20"/>
              </w:rPr>
              <w:t>29</w:t>
            </w:r>
          </w:p>
        </w:tc>
        <w:tc>
          <w:tcPr>
            <w:tcW w:w="625" w:type="pct"/>
            <w:shd w:val="clear" w:color="auto" w:fill="auto"/>
          </w:tcPr>
          <w:p w14:paraId="00EF9E69" w14:textId="76946878" w:rsidR="00D15BF3" w:rsidRPr="00FE744C" w:rsidRDefault="00D15BF3" w:rsidP="00D15BF3">
            <w:pPr>
              <w:jc w:val="center"/>
              <w:rPr>
                <w:rFonts w:ascii="Palatino Linotype" w:eastAsia="Times New Roman" w:hAnsi="Palatino Linotype" w:cs="Calibri"/>
                <w:b/>
                <w:bCs/>
                <w:color w:val="000000"/>
                <w:sz w:val="20"/>
                <w:szCs w:val="20"/>
              </w:rPr>
            </w:pPr>
            <w:r>
              <w:rPr>
                <w:rFonts w:ascii="Palatino Linotype" w:eastAsia="Times New Roman" w:hAnsi="Palatino Linotype" w:cs="Calibri"/>
                <w:b/>
                <w:bCs/>
                <w:color w:val="000000"/>
                <w:sz w:val="20"/>
                <w:szCs w:val="20"/>
              </w:rPr>
              <w:t>8</w:t>
            </w:r>
          </w:p>
        </w:tc>
        <w:tc>
          <w:tcPr>
            <w:tcW w:w="625" w:type="pct"/>
            <w:shd w:val="clear" w:color="auto" w:fill="auto"/>
          </w:tcPr>
          <w:p w14:paraId="039CCFB4" w14:textId="77777777" w:rsidR="00D15BF3" w:rsidRPr="00FE744C" w:rsidRDefault="00D15BF3" w:rsidP="00D15BF3">
            <w:pPr>
              <w:jc w:val="center"/>
              <w:rPr>
                <w:rFonts w:ascii="Palatino Linotype" w:eastAsia="Times New Roman" w:hAnsi="Palatino Linotype" w:cs="Calibri"/>
                <w:b/>
                <w:bCs/>
                <w:color w:val="000000"/>
                <w:sz w:val="20"/>
                <w:szCs w:val="20"/>
              </w:rPr>
            </w:pPr>
            <w:r>
              <w:rPr>
                <w:rFonts w:ascii="Palatino Linotype" w:eastAsia="Times New Roman" w:hAnsi="Palatino Linotype" w:cs="Calibri"/>
                <w:b/>
                <w:bCs/>
                <w:color w:val="000000"/>
                <w:sz w:val="20"/>
                <w:szCs w:val="20"/>
              </w:rPr>
              <w:t>9</w:t>
            </w:r>
          </w:p>
        </w:tc>
        <w:tc>
          <w:tcPr>
            <w:tcW w:w="625" w:type="pct"/>
          </w:tcPr>
          <w:p w14:paraId="59B99F0A" w14:textId="40F0EC16" w:rsidR="00D15BF3" w:rsidRDefault="00D15BF3" w:rsidP="00D15BF3">
            <w:pPr>
              <w:jc w:val="center"/>
              <w:rPr>
                <w:rFonts w:ascii="Palatino Linotype" w:eastAsia="Times New Roman" w:hAnsi="Palatino Linotype" w:cs="Calibri"/>
                <w:b/>
                <w:bCs/>
                <w:color w:val="000000"/>
                <w:sz w:val="20"/>
                <w:szCs w:val="20"/>
              </w:rPr>
            </w:pPr>
            <w:r>
              <w:rPr>
                <w:rFonts w:ascii="Palatino Linotype" w:eastAsia="Times New Roman" w:hAnsi="Palatino Linotype" w:cs="Calibri"/>
                <w:b/>
                <w:bCs/>
                <w:color w:val="000000"/>
                <w:sz w:val="20"/>
                <w:szCs w:val="20"/>
              </w:rPr>
              <w:t>Not sampled</w:t>
            </w:r>
          </w:p>
        </w:tc>
        <w:tc>
          <w:tcPr>
            <w:tcW w:w="625" w:type="pct"/>
            <w:shd w:val="clear" w:color="auto" w:fill="auto"/>
          </w:tcPr>
          <w:p w14:paraId="2562C605" w14:textId="66CA13FF" w:rsidR="00D15BF3" w:rsidRPr="00FE744C" w:rsidRDefault="008E0B5D" w:rsidP="00D15BF3">
            <w:pPr>
              <w:jc w:val="center"/>
              <w:rPr>
                <w:rFonts w:ascii="Palatino Linotype" w:eastAsia="Times New Roman" w:hAnsi="Palatino Linotype" w:cs="Calibri"/>
                <w:b/>
                <w:bCs/>
                <w:color w:val="000000"/>
                <w:sz w:val="20"/>
                <w:szCs w:val="20"/>
              </w:rPr>
            </w:pPr>
            <w:r>
              <w:rPr>
                <w:rFonts w:ascii="Palatino Linotype" w:eastAsia="Times New Roman" w:hAnsi="Palatino Linotype" w:cs="Calibri"/>
                <w:b/>
                <w:bCs/>
                <w:color w:val="000000"/>
                <w:sz w:val="20"/>
                <w:szCs w:val="20"/>
              </w:rPr>
              <w:t>14</w:t>
            </w:r>
            <w:r w:rsidR="00FE3C90">
              <w:rPr>
                <w:rFonts w:ascii="Palatino Linotype" w:eastAsia="Times New Roman" w:hAnsi="Palatino Linotype" w:cs="Calibri"/>
                <w:b/>
                <w:bCs/>
                <w:color w:val="000000"/>
                <w:sz w:val="20"/>
                <w:szCs w:val="20"/>
              </w:rPr>
              <w:t>3</w:t>
            </w:r>
          </w:p>
        </w:tc>
      </w:tr>
    </w:tbl>
    <w:p w14:paraId="3F03016B" w14:textId="77777777" w:rsidR="00046536" w:rsidRDefault="00046536" w:rsidP="00046536"/>
    <w:p w14:paraId="2B586D42" w14:textId="7356F8A2" w:rsidR="007344DF" w:rsidRPr="003F2398" w:rsidRDefault="007344DF" w:rsidP="007344DF">
      <w:pPr>
        <w:rPr>
          <w:rFonts w:cstheme="minorHAnsi"/>
          <w:i/>
        </w:rPr>
      </w:pPr>
      <w:r w:rsidRPr="003F2398">
        <w:rPr>
          <w:rFonts w:cstheme="minorHAnsi"/>
          <w:i/>
        </w:rPr>
        <w:t>Inventory analysis and results</w:t>
      </w:r>
    </w:p>
    <w:p w14:paraId="337EA711" w14:textId="77777777" w:rsidR="007344DF" w:rsidRDefault="007344DF" w:rsidP="007344DF">
      <w:r>
        <w:t>Total aboveground b</w:t>
      </w:r>
      <w:r w:rsidRPr="00F76B8A">
        <w:t xml:space="preserve">iomass carbon was estimated from inventory data </w:t>
      </w:r>
      <w:r>
        <w:t>applying species group-specific allometric equations sourced from Jenkins et al 2003</w:t>
      </w:r>
      <w:r>
        <w:rPr>
          <w:rStyle w:val="FootnoteReference"/>
        </w:rPr>
        <w:footnoteReference w:id="7"/>
      </w:r>
      <w:r>
        <w:t>.</w:t>
      </w:r>
    </w:p>
    <w:p w14:paraId="423D8FD9" w14:textId="4B3AEC07" w:rsidR="007344DF" w:rsidRPr="00254009" w:rsidRDefault="007344DF" w:rsidP="007344DF">
      <w:pPr>
        <w:autoSpaceDE w:val="0"/>
        <w:autoSpaceDN w:val="0"/>
        <w:adjustRightInd w:val="0"/>
        <w:rPr>
          <w:rFonts w:cstheme="minorHAnsi"/>
        </w:rPr>
      </w:pPr>
      <w:r w:rsidRPr="00254009">
        <w:rPr>
          <w:rFonts w:cstheme="minorHAnsi"/>
        </w:rPr>
        <w:t>For all trees, total aboveground biomass was adjusted to deduct any portion observed missing (referencing defect assessments for the top, middle and bottom thirds of the total aboveground biomass of inventory trees).  Deductions for defect were incorporated by multiplying total aboveground biomass by weighted average overall percent sound (1 – recorded percent defect) referencing the proportions of aboveground tree biomass represented in each of three assessed thirds (table below referenced from Climate Action Reserve 2012).</w:t>
      </w:r>
    </w:p>
    <w:p w14:paraId="5D24BDA7" w14:textId="077AB90D" w:rsidR="007344DF" w:rsidRPr="00254009" w:rsidRDefault="007344DF" w:rsidP="007344DF">
      <w:pPr>
        <w:autoSpaceDE w:val="0"/>
        <w:autoSpaceDN w:val="0"/>
        <w:adjustRightInd w:val="0"/>
        <w:rPr>
          <w:rFonts w:cstheme="minorHAnsi"/>
        </w:rPr>
      </w:pPr>
      <w:r w:rsidRPr="00254009">
        <w:rPr>
          <w:rFonts w:cstheme="minorHAnsi"/>
        </w:rPr>
        <w:t>Allocations of total aboveground biomass in top, bottom and middle thirds: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9"/>
        <w:gridCol w:w="3129"/>
      </w:tblGrid>
      <w:tr w:rsidR="007344DF" w:rsidRPr="00421CBF" w14:paraId="1767FB86" w14:textId="77777777" w:rsidTr="00A16F26">
        <w:trPr>
          <w:trHeight w:val="138"/>
        </w:trPr>
        <w:tc>
          <w:tcPr>
            <w:tcW w:w="3129" w:type="dxa"/>
          </w:tcPr>
          <w:p w14:paraId="658CA694" w14:textId="77777777" w:rsidR="007344DF" w:rsidRPr="00012DB5" w:rsidRDefault="007344DF" w:rsidP="00A16F26">
            <w:pPr>
              <w:autoSpaceDE w:val="0"/>
              <w:autoSpaceDN w:val="0"/>
              <w:adjustRightInd w:val="0"/>
              <w:rPr>
                <w:rFonts w:cstheme="minorHAnsi"/>
                <w:b/>
              </w:rPr>
            </w:pPr>
            <w:r w:rsidRPr="00012DB5">
              <w:rPr>
                <w:rFonts w:cstheme="minorHAnsi"/>
                <w:b/>
              </w:rPr>
              <w:t xml:space="preserve">Tree Portion </w:t>
            </w:r>
          </w:p>
        </w:tc>
        <w:tc>
          <w:tcPr>
            <w:tcW w:w="3129" w:type="dxa"/>
          </w:tcPr>
          <w:p w14:paraId="5FDF5FB8" w14:textId="77777777" w:rsidR="007344DF" w:rsidRPr="00012DB5" w:rsidRDefault="007344DF" w:rsidP="00A16F26">
            <w:pPr>
              <w:autoSpaceDE w:val="0"/>
              <w:autoSpaceDN w:val="0"/>
              <w:adjustRightInd w:val="0"/>
              <w:rPr>
                <w:rFonts w:cstheme="minorHAnsi"/>
                <w:b/>
              </w:rPr>
            </w:pPr>
            <w:r w:rsidRPr="00012DB5">
              <w:rPr>
                <w:rFonts w:cstheme="minorHAnsi"/>
                <w:b/>
              </w:rPr>
              <w:t>Percent of Tree Biomass</w:t>
            </w:r>
          </w:p>
        </w:tc>
      </w:tr>
      <w:tr w:rsidR="007344DF" w:rsidRPr="00421CBF" w14:paraId="48CC220E" w14:textId="77777777" w:rsidTr="00A16F26">
        <w:trPr>
          <w:trHeight w:val="132"/>
        </w:trPr>
        <w:tc>
          <w:tcPr>
            <w:tcW w:w="3129" w:type="dxa"/>
          </w:tcPr>
          <w:p w14:paraId="0B2909D1" w14:textId="77777777" w:rsidR="007344DF" w:rsidRPr="00421CBF" w:rsidRDefault="007344DF" w:rsidP="00A16F26">
            <w:pPr>
              <w:autoSpaceDE w:val="0"/>
              <w:autoSpaceDN w:val="0"/>
              <w:adjustRightInd w:val="0"/>
              <w:rPr>
                <w:rFonts w:cstheme="minorHAnsi"/>
              </w:rPr>
            </w:pPr>
            <w:r w:rsidRPr="00421CBF">
              <w:rPr>
                <w:rFonts w:cstheme="minorHAnsi"/>
              </w:rPr>
              <w:t xml:space="preserve">Top 1/3 </w:t>
            </w:r>
          </w:p>
        </w:tc>
        <w:tc>
          <w:tcPr>
            <w:tcW w:w="3129" w:type="dxa"/>
          </w:tcPr>
          <w:p w14:paraId="406A4B00" w14:textId="77777777" w:rsidR="007344DF" w:rsidRPr="00421CBF" w:rsidRDefault="007344DF" w:rsidP="00A16F26">
            <w:pPr>
              <w:autoSpaceDE w:val="0"/>
              <w:autoSpaceDN w:val="0"/>
              <w:adjustRightInd w:val="0"/>
              <w:rPr>
                <w:rFonts w:cstheme="minorHAnsi"/>
              </w:rPr>
            </w:pPr>
            <w:r w:rsidRPr="00421CBF">
              <w:rPr>
                <w:rFonts w:cstheme="minorHAnsi"/>
              </w:rPr>
              <w:t>10%</w:t>
            </w:r>
          </w:p>
        </w:tc>
      </w:tr>
      <w:tr w:rsidR="007344DF" w:rsidRPr="00421CBF" w14:paraId="587138BD" w14:textId="77777777" w:rsidTr="00A16F26">
        <w:trPr>
          <w:trHeight w:val="132"/>
        </w:trPr>
        <w:tc>
          <w:tcPr>
            <w:tcW w:w="3129" w:type="dxa"/>
          </w:tcPr>
          <w:p w14:paraId="5A4351DE" w14:textId="77777777" w:rsidR="007344DF" w:rsidRPr="00421CBF" w:rsidRDefault="007344DF" w:rsidP="00A16F26">
            <w:pPr>
              <w:autoSpaceDE w:val="0"/>
              <w:autoSpaceDN w:val="0"/>
              <w:adjustRightInd w:val="0"/>
              <w:rPr>
                <w:rFonts w:cstheme="minorHAnsi"/>
              </w:rPr>
            </w:pPr>
            <w:r w:rsidRPr="00421CBF">
              <w:rPr>
                <w:rFonts w:cstheme="minorHAnsi"/>
              </w:rPr>
              <w:t xml:space="preserve">Middle 1/3 </w:t>
            </w:r>
          </w:p>
        </w:tc>
        <w:tc>
          <w:tcPr>
            <w:tcW w:w="3129" w:type="dxa"/>
          </w:tcPr>
          <w:p w14:paraId="63A8A93B" w14:textId="77777777" w:rsidR="007344DF" w:rsidRPr="00421CBF" w:rsidRDefault="007344DF" w:rsidP="00A16F26">
            <w:pPr>
              <w:autoSpaceDE w:val="0"/>
              <w:autoSpaceDN w:val="0"/>
              <w:adjustRightInd w:val="0"/>
              <w:rPr>
                <w:rFonts w:cstheme="minorHAnsi"/>
              </w:rPr>
            </w:pPr>
            <w:r w:rsidRPr="00421CBF">
              <w:rPr>
                <w:rFonts w:cstheme="minorHAnsi"/>
              </w:rPr>
              <w:t>25%</w:t>
            </w:r>
          </w:p>
        </w:tc>
      </w:tr>
      <w:tr w:rsidR="007344DF" w:rsidRPr="00421CBF" w14:paraId="7A9B783D" w14:textId="77777777" w:rsidTr="00A16F26">
        <w:trPr>
          <w:trHeight w:val="132"/>
        </w:trPr>
        <w:tc>
          <w:tcPr>
            <w:tcW w:w="3129" w:type="dxa"/>
          </w:tcPr>
          <w:p w14:paraId="0A9A919D" w14:textId="77777777" w:rsidR="007344DF" w:rsidRPr="00421CBF" w:rsidRDefault="007344DF" w:rsidP="00A16F26">
            <w:pPr>
              <w:autoSpaceDE w:val="0"/>
              <w:autoSpaceDN w:val="0"/>
              <w:adjustRightInd w:val="0"/>
              <w:rPr>
                <w:rFonts w:cstheme="minorHAnsi"/>
              </w:rPr>
            </w:pPr>
            <w:r w:rsidRPr="00421CBF">
              <w:rPr>
                <w:rFonts w:cstheme="minorHAnsi"/>
              </w:rPr>
              <w:t xml:space="preserve">Bottom 1/3 </w:t>
            </w:r>
          </w:p>
        </w:tc>
        <w:tc>
          <w:tcPr>
            <w:tcW w:w="3129" w:type="dxa"/>
          </w:tcPr>
          <w:p w14:paraId="66D0FD8A" w14:textId="77777777" w:rsidR="007344DF" w:rsidRPr="00421CBF" w:rsidRDefault="007344DF" w:rsidP="00A16F26">
            <w:pPr>
              <w:autoSpaceDE w:val="0"/>
              <w:autoSpaceDN w:val="0"/>
              <w:adjustRightInd w:val="0"/>
              <w:rPr>
                <w:rFonts w:cstheme="minorHAnsi"/>
              </w:rPr>
            </w:pPr>
            <w:r w:rsidRPr="00421CBF">
              <w:rPr>
                <w:rFonts w:cstheme="minorHAnsi"/>
              </w:rPr>
              <w:t>65%</w:t>
            </w:r>
          </w:p>
        </w:tc>
      </w:tr>
    </w:tbl>
    <w:p w14:paraId="3960A596" w14:textId="0D322889" w:rsidR="007344DF" w:rsidRDefault="007344DF" w:rsidP="007344DF">
      <w:pPr>
        <w:autoSpaceDE w:val="0"/>
        <w:autoSpaceDN w:val="0"/>
        <w:adjustRightInd w:val="0"/>
        <w:rPr>
          <w:rFonts w:cstheme="minorHAnsi"/>
        </w:rPr>
      </w:pPr>
    </w:p>
    <w:p w14:paraId="5849D228" w14:textId="15A0F439" w:rsidR="00702589" w:rsidRDefault="00702589" w:rsidP="007344DF">
      <w:pPr>
        <w:autoSpaceDE w:val="0"/>
        <w:autoSpaceDN w:val="0"/>
        <w:adjustRightInd w:val="0"/>
        <w:rPr>
          <w:rFonts w:cstheme="minorHAnsi"/>
        </w:rPr>
      </w:pPr>
      <w:r>
        <w:rPr>
          <w:rFonts w:cstheme="minorHAnsi"/>
        </w:rPr>
        <w:t>For standing dead trees of decay class 4 (bole only), middle and bottom third defects were applied to the entirety of the bole biomass (assuming the top third represents missing tops and branches), and percents of bole biomass calculated as 27.8% and 72.2%, respectively.</w:t>
      </w:r>
    </w:p>
    <w:p w14:paraId="4BBD34D9" w14:textId="74019F07" w:rsidR="007344DF" w:rsidRDefault="007344DF" w:rsidP="007344DF">
      <w:r w:rsidRPr="008B0A25">
        <w:t>Root</w:t>
      </w:r>
      <w:r>
        <w:t xml:space="preserve"> biomass was estimated from </w:t>
      </w:r>
      <w:r w:rsidRPr="008B0A25">
        <w:t xml:space="preserve">total aboveground biomass using component ratios </w:t>
      </w:r>
      <w:r>
        <w:t xml:space="preserve">from </w:t>
      </w:r>
      <w:r w:rsidRPr="008B0A25">
        <w:t xml:space="preserve">Jenkins et al 2003, to produce total live tree biomass. Total live tree biomass was multiplied by 0.5 to estimate carbon fraction, then multiplied by </w:t>
      </w:r>
      <w:r>
        <w:t>3.664</w:t>
      </w:r>
      <w:r w:rsidRPr="008B0A25">
        <w:t xml:space="preserve"> to calculate CO2 equivalent.</w:t>
      </w:r>
    </w:p>
    <w:p w14:paraId="2887BDAB" w14:textId="51E8D2F7" w:rsidR="007344DF" w:rsidRDefault="007344DF" w:rsidP="007344DF">
      <w:r w:rsidRPr="00710A9A">
        <w:t>Carbon in standing dead wood was estimated in the same way as for live trees, with deductions for decay class recorded in the field</w:t>
      </w:r>
      <w:r w:rsidR="00AC6C0D">
        <w:t xml:space="preserve"> (Table E4</w:t>
      </w:r>
      <w:r>
        <w:t>)</w:t>
      </w:r>
      <w:r w:rsidRPr="00710A9A">
        <w:t xml:space="preserve">. For all standing dead wood, only </w:t>
      </w:r>
      <w:r w:rsidR="00150023">
        <w:t xml:space="preserve">aboveground biomass </w:t>
      </w:r>
      <w:r w:rsidRPr="00710A9A">
        <w:t>was included in carbon calculations.</w:t>
      </w:r>
    </w:p>
    <w:p w14:paraId="37A606EA" w14:textId="44E9B586" w:rsidR="007344DF" w:rsidRDefault="00AC6C0D" w:rsidP="007344DF">
      <w:pPr>
        <w:rPr>
          <w:b/>
        </w:rPr>
      </w:pPr>
      <w:r>
        <w:rPr>
          <w:b/>
        </w:rPr>
        <w:t>Table E4</w:t>
      </w:r>
      <w:r w:rsidR="007344DF" w:rsidRPr="00710A9A">
        <w:rPr>
          <w:b/>
        </w:rPr>
        <w:t>.</w:t>
      </w:r>
      <w:r w:rsidR="008F31DC">
        <w:rPr>
          <w:b/>
        </w:rPr>
        <w:t xml:space="preserve"> Decay class descriptions and deductions for standing dead wood.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7"/>
        <w:gridCol w:w="3517"/>
        <w:gridCol w:w="3516"/>
      </w:tblGrid>
      <w:tr w:rsidR="00F960A8" w:rsidRPr="009B75E1" w14:paraId="16795D96" w14:textId="3B3C5E40" w:rsidTr="00F960A8">
        <w:tc>
          <w:tcPr>
            <w:tcW w:w="1239" w:type="pct"/>
            <w:shd w:val="clear" w:color="auto" w:fill="auto"/>
          </w:tcPr>
          <w:p w14:paraId="69CF1627" w14:textId="290DD588" w:rsidR="00F960A8" w:rsidRPr="009B75E1" w:rsidRDefault="00F960A8" w:rsidP="00F960A8">
            <w:pPr>
              <w:pStyle w:val="Heading2"/>
              <w:tabs>
                <w:tab w:val="left" w:pos="720"/>
              </w:tabs>
              <w:spacing w:line="240" w:lineRule="auto"/>
              <w:ind w:left="720"/>
              <w:rPr>
                <w:rFonts w:ascii="Palatino" w:eastAsia="Cambria" w:hAnsi="Palatino"/>
                <w:bCs w:val="0"/>
                <w:sz w:val="21"/>
                <w:szCs w:val="24"/>
              </w:rPr>
            </w:pPr>
            <w:r>
              <w:rPr>
                <w:rFonts w:ascii="Palatino" w:eastAsia="Cambria" w:hAnsi="Palatino"/>
                <w:bCs w:val="0"/>
                <w:sz w:val="21"/>
                <w:szCs w:val="24"/>
              </w:rPr>
              <w:t>ACR decay</w:t>
            </w:r>
            <w:r w:rsidRPr="009B75E1">
              <w:rPr>
                <w:rFonts w:ascii="Palatino" w:eastAsia="Cambria" w:hAnsi="Palatino"/>
                <w:bCs w:val="0"/>
                <w:sz w:val="21"/>
                <w:szCs w:val="24"/>
              </w:rPr>
              <w:t xml:space="preserve"> class</w:t>
            </w:r>
          </w:p>
        </w:tc>
        <w:tc>
          <w:tcPr>
            <w:tcW w:w="1881" w:type="pct"/>
            <w:shd w:val="clear" w:color="auto" w:fill="auto"/>
          </w:tcPr>
          <w:p w14:paraId="4891CD61" w14:textId="4DD300E8" w:rsidR="00F960A8" w:rsidRPr="009B75E1" w:rsidRDefault="00F960A8" w:rsidP="00F960A8">
            <w:pPr>
              <w:pStyle w:val="Heading2"/>
              <w:tabs>
                <w:tab w:val="left" w:pos="720"/>
              </w:tabs>
              <w:spacing w:line="240" w:lineRule="auto"/>
              <w:ind w:left="720"/>
              <w:rPr>
                <w:rFonts w:ascii="Palatino" w:eastAsia="Cambria" w:hAnsi="Palatino"/>
                <w:bCs w:val="0"/>
                <w:sz w:val="21"/>
                <w:szCs w:val="24"/>
              </w:rPr>
            </w:pPr>
            <w:r w:rsidRPr="009B75E1">
              <w:rPr>
                <w:rFonts w:ascii="Palatino" w:eastAsia="Cambria" w:hAnsi="Palatino"/>
                <w:bCs w:val="0"/>
                <w:sz w:val="21"/>
                <w:szCs w:val="24"/>
              </w:rPr>
              <w:t>Description</w:t>
            </w:r>
            <w:r>
              <w:rPr>
                <w:rFonts w:ascii="Palatino" w:eastAsia="Cambria" w:hAnsi="Palatino"/>
                <w:bCs w:val="0"/>
                <w:sz w:val="21"/>
                <w:szCs w:val="24"/>
              </w:rPr>
              <w:t xml:space="preserve"> standing dead</w:t>
            </w:r>
          </w:p>
        </w:tc>
        <w:tc>
          <w:tcPr>
            <w:tcW w:w="1880" w:type="pct"/>
            <w:vAlign w:val="bottom"/>
          </w:tcPr>
          <w:p w14:paraId="15F8A015" w14:textId="3C4F5A58" w:rsidR="00F960A8" w:rsidRPr="00F960A8" w:rsidRDefault="00F960A8" w:rsidP="00F960A8">
            <w:pPr>
              <w:pStyle w:val="Heading2"/>
              <w:tabs>
                <w:tab w:val="left" w:pos="720"/>
              </w:tabs>
              <w:spacing w:line="240" w:lineRule="auto"/>
              <w:ind w:left="720"/>
              <w:rPr>
                <w:rFonts w:ascii="Palatino" w:eastAsia="Cambria" w:hAnsi="Palatino"/>
                <w:bCs w:val="0"/>
                <w:sz w:val="21"/>
                <w:szCs w:val="24"/>
              </w:rPr>
            </w:pPr>
            <w:r w:rsidRPr="00F960A8">
              <w:rPr>
                <w:rFonts w:ascii="Palatino" w:eastAsia="Cambria" w:hAnsi="Palatino"/>
                <w:bCs w:val="0"/>
                <w:sz w:val="21"/>
                <w:szCs w:val="24"/>
              </w:rPr>
              <w:t>Deduction</w:t>
            </w:r>
          </w:p>
        </w:tc>
      </w:tr>
      <w:tr w:rsidR="00F960A8" w:rsidRPr="009B75E1" w14:paraId="0635056E" w14:textId="7E220F81" w:rsidTr="00F960A8">
        <w:tc>
          <w:tcPr>
            <w:tcW w:w="1239" w:type="pct"/>
            <w:shd w:val="clear" w:color="auto" w:fill="auto"/>
          </w:tcPr>
          <w:p w14:paraId="49080B20" w14:textId="77777777" w:rsidR="00F960A8" w:rsidRPr="009B75E1" w:rsidRDefault="00F960A8" w:rsidP="00F960A8">
            <w:pPr>
              <w:pStyle w:val="Heading2"/>
              <w:tabs>
                <w:tab w:val="left" w:pos="720"/>
              </w:tabs>
              <w:spacing w:line="240" w:lineRule="auto"/>
              <w:ind w:left="720"/>
              <w:rPr>
                <w:rFonts w:ascii="Palatino" w:eastAsia="Cambria" w:hAnsi="Palatino"/>
                <w:b w:val="0"/>
                <w:bCs w:val="0"/>
                <w:sz w:val="21"/>
                <w:szCs w:val="24"/>
              </w:rPr>
            </w:pPr>
            <w:r w:rsidRPr="009B75E1">
              <w:rPr>
                <w:rFonts w:ascii="Palatino" w:eastAsia="Cambria" w:hAnsi="Palatino"/>
                <w:b w:val="0"/>
                <w:bCs w:val="0"/>
                <w:sz w:val="21"/>
                <w:szCs w:val="24"/>
              </w:rPr>
              <w:t>1</w:t>
            </w:r>
          </w:p>
        </w:tc>
        <w:tc>
          <w:tcPr>
            <w:tcW w:w="1881" w:type="pct"/>
            <w:shd w:val="clear" w:color="auto" w:fill="auto"/>
          </w:tcPr>
          <w:p w14:paraId="549F96FA" w14:textId="77777777" w:rsidR="00F960A8" w:rsidRPr="009B75E1" w:rsidRDefault="00F960A8" w:rsidP="00F960A8">
            <w:pPr>
              <w:pStyle w:val="Heading2"/>
              <w:tabs>
                <w:tab w:val="left" w:pos="720"/>
              </w:tabs>
              <w:spacing w:line="240" w:lineRule="auto"/>
              <w:ind w:left="720"/>
              <w:rPr>
                <w:rFonts w:ascii="Palatino" w:eastAsia="Cambria" w:hAnsi="Palatino"/>
                <w:b w:val="0"/>
                <w:bCs w:val="0"/>
                <w:sz w:val="21"/>
                <w:szCs w:val="24"/>
              </w:rPr>
            </w:pPr>
            <w:r w:rsidRPr="009B75E1">
              <w:rPr>
                <w:rFonts w:ascii="Palatino" w:eastAsia="Cambria" w:hAnsi="Palatino"/>
                <w:b w:val="0"/>
                <w:bCs w:val="0"/>
                <w:sz w:val="21"/>
                <w:szCs w:val="24"/>
              </w:rPr>
              <w:t>Tree with branches and twigs that resembles a live tree (except for leaves).</w:t>
            </w:r>
          </w:p>
        </w:tc>
        <w:tc>
          <w:tcPr>
            <w:tcW w:w="1880" w:type="pct"/>
            <w:vAlign w:val="bottom"/>
          </w:tcPr>
          <w:p w14:paraId="7BB9CBCF" w14:textId="7D006AAA" w:rsidR="00F960A8" w:rsidRPr="009B75E1" w:rsidRDefault="00F960A8" w:rsidP="00F960A8">
            <w:pPr>
              <w:pStyle w:val="Heading2"/>
              <w:tabs>
                <w:tab w:val="left" w:pos="720"/>
              </w:tabs>
              <w:spacing w:line="240" w:lineRule="auto"/>
              <w:ind w:left="720"/>
              <w:rPr>
                <w:rFonts w:ascii="Palatino" w:eastAsia="Cambria" w:hAnsi="Palatino"/>
                <w:b w:val="0"/>
                <w:bCs w:val="0"/>
                <w:sz w:val="21"/>
                <w:szCs w:val="24"/>
              </w:rPr>
            </w:pPr>
            <w:r w:rsidRPr="00F960A8">
              <w:rPr>
                <w:rFonts w:ascii="Palatino" w:eastAsia="Cambria" w:hAnsi="Palatino"/>
                <w:b w:val="0"/>
                <w:bCs w:val="0"/>
                <w:sz w:val="21"/>
                <w:szCs w:val="24"/>
              </w:rPr>
              <w:t>0.97</w:t>
            </w:r>
          </w:p>
        </w:tc>
      </w:tr>
      <w:tr w:rsidR="00F960A8" w:rsidRPr="009B75E1" w14:paraId="4E4307A8" w14:textId="21CCBF75" w:rsidTr="00F960A8">
        <w:tc>
          <w:tcPr>
            <w:tcW w:w="1239" w:type="pct"/>
            <w:shd w:val="clear" w:color="auto" w:fill="auto"/>
          </w:tcPr>
          <w:p w14:paraId="3B1E066E" w14:textId="77777777" w:rsidR="00F960A8" w:rsidRPr="009B75E1" w:rsidRDefault="00F960A8" w:rsidP="00F960A8">
            <w:pPr>
              <w:pStyle w:val="Heading2"/>
              <w:tabs>
                <w:tab w:val="left" w:pos="720"/>
              </w:tabs>
              <w:spacing w:line="240" w:lineRule="auto"/>
              <w:ind w:left="720"/>
              <w:rPr>
                <w:rFonts w:ascii="Palatino" w:eastAsia="Cambria" w:hAnsi="Palatino"/>
                <w:b w:val="0"/>
                <w:bCs w:val="0"/>
                <w:sz w:val="21"/>
                <w:szCs w:val="24"/>
              </w:rPr>
            </w:pPr>
            <w:r w:rsidRPr="009B75E1">
              <w:rPr>
                <w:rFonts w:ascii="Palatino" w:eastAsia="Cambria" w:hAnsi="Palatino"/>
                <w:b w:val="0"/>
                <w:bCs w:val="0"/>
                <w:sz w:val="21"/>
                <w:szCs w:val="24"/>
              </w:rPr>
              <w:t xml:space="preserve">2 </w:t>
            </w:r>
          </w:p>
        </w:tc>
        <w:tc>
          <w:tcPr>
            <w:tcW w:w="1881" w:type="pct"/>
            <w:shd w:val="clear" w:color="auto" w:fill="auto"/>
          </w:tcPr>
          <w:p w14:paraId="09E99004" w14:textId="77777777" w:rsidR="00F960A8" w:rsidRPr="009B75E1" w:rsidRDefault="00F960A8" w:rsidP="00F960A8">
            <w:pPr>
              <w:pStyle w:val="Heading2"/>
              <w:tabs>
                <w:tab w:val="left" w:pos="720"/>
              </w:tabs>
              <w:spacing w:line="240" w:lineRule="auto"/>
              <w:ind w:left="720"/>
              <w:rPr>
                <w:rFonts w:ascii="Palatino" w:eastAsia="Cambria" w:hAnsi="Palatino"/>
                <w:b w:val="0"/>
                <w:bCs w:val="0"/>
                <w:sz w:val="21"/>
                <w:szCs w:val="24"/>
              </w:rPr>
            </w:pPr>
            <w:r w:rsidRPr="009B75E1">
              <w:rPr>
                <w:rFonts w:ascii="Palatino" w:eastAsia="Cambria" w:hAnsi="Palatino"/>
                <w:b w:val="0"/>
                <w:bCs w:val="0"/>
                <w:sz w:val="21"/>
                <w:szCs w:val="24"/>
              </w:rPr>
              <w:t>Tree with no twigs but with persistent small and large branches.</w:t>
            </w:r>
          </w:p>
        </w:tc>
        <w:tc>
          <w:tcPr>
            <w:tcW w:w="1880" w:type="pct"/>
            <w:vAlign w:val="bottom"/>
          </w:tcPr>
          <w:p w14:paraId="46D9BDB3" w14:textId="1408E4F6" w:rsidR="00F960A8" w:rsidRPr="009B75E1" w:rsidRDefault="00F960A8" w:rsidP="00F960A8">
            <w:pPr>
              <w:pStyle w:val="Heading2"/>
              <w:tabs>
                <w:tab w:val="left" w:pos="720"/>
              </w:tabs>
              <w:spacing w:line="240" w:lineRule="auto"/>
              <w:ind w:left="720"/>
              <w:rPr>
                <w:rFonts w:ascii="Palatino" w:eastAsia="Cambria" w:hAnsi="Palatino"/>
                <w:b w:val="0"/>
                <w:bCs w:val="0"/>
                <w:sz w:val="21"/>
                <w:szCs w:val="24"/>
              </w:rPr>
            </w:pPr>
            <w:r w:rsidRPr="00F960A8">
              <w:rPr>
                <w:rFonts w:ascii="Palatino" w:eastAsia="Cambria" w:hAnsi="Palatino"/>
                <w:b w:val="0"/>
                <w:bCs w:val="0"/>
                <w:sz w:val="21"/>
                <w:szCs w:val="24"/>
              </w:rPr>
              <w:t>0.95</w:t>
            </w:r>
          </w:p>
        </w:tc>
      </w:tr>
      <w:tr w:rsidR="00F960A8" w:rsidRPr="009B75E1" w14:paraId="47CD5B49" w14:textId="2A4F5FD5" w:rsidTr="00F960A8">
        <w:tc>
          <w:tcPr>
            <w:tcW w:w="1239" w:type="pct"/>
            <w:shd w:val="clear" w:color="auto" w:fill="auto"/>
          </w:tcPr>
          <w:p w14:paraId="7C898534" w14:textId="77777777" w:rsidR="00F960A8" w:rsidRPr="009B75E1" w:rsidRDefault="00F960A8" w:rsidP="00F960A8">
            <w:pPr>
              <w:pStyle w:val="Heading2"/>
              <w:tabs>
                <w:tab w:val="left" w:pos="720"/>
              </w:tabs>
              <w:spacing w:line="240" w:lineRule="auto"/>
              <w:ind w:left="720"/>
              <w:rPr>
                <w:rFonts w:ascii="Palatino" w:eastAsia="Cambria" w:hAnsi="Palatino"/>
                <w:b w:val="0"/>
                <w:bCs w:val="0"/>
                <w:sz w:val="21"/>
                <w:szCs w:val="24"/>
              </w:rPr>
            </w:pPr>
            <w:r w:rsidRPr="009B75E1">
              <w:rPr>
                <w:rFonts w:ascii="Palatino" w:eastAsia="Cambria" w:hAnsi="Palatino"/>
                <w:b w:val="0"/>
                <w:bCs w:val="0"/>
                <w:sz w:val="21"/>
                <w:szCs w:val="24"/>
              </w:rPr>
              <w:t xml:space="preserve">3 </w:t>
            </w:r>
          </w:p>
        </w:tc>
        <w:tc>
          <w:tcPr>
            <w:tcW w:w="1881" w:type="pct"/>
            <w:shd w:val="clear" w:color="auto" w:fill="auto"/>
          </w:tcPr>
          <w:p w14:paraId="42C81F8A" w14:textId="77777777" w:rsidR="00F960A8" w:rsidRPr="009B75E1" w:rsidRDefault="00F960A8" w:rsidP="00F960A8">
            <w:pPr>
              <w:pStyle w:val="Heading2"/>
              <w:tabs>
                <w:tab w:val="left" w:pos="720"/>
              </w:tabs>
              <w:spacing w:line="240" w:lineRule="auto"/>
              <w:ind w:left="720"/>
              <w:rPr>
                <w:rFonts w:ascii="Palatino" w:eastAsia="Cambria" w:hAnsi="Palatino"/>
                <w:b w:val="0"/>
                <w:bCs w:val="0"/>
                <w:sz w:val="21"/>
                <w:szCs w:val="24"/>
              </w:rPr>
            </w:pPr>
            <w:r w:rsidRPr="009B75E1">
              <w:rPr>
                <w:rFonts w:ascii="Palatino" w:eastAsia="Cambria" w:hAnsi="Palatino"/>
                <w:b w:val="0"/>
                <w:bCs w:val="0"/>
                <w:sz w:val="21"/>
                <w:szCs w:val="24"/>
              </w:rPr>
              <w:t>Tree with large branches only.</w:t>
            </w:r>
          </w:p>
        </w:tc>
        <w:tc>
          <w:tcPr>
            <w:tcW w:w="1880" w:type="pct"/>
            <w:vAlign w:val="bottom"/>
          </w:tcPr>
          <w:p w14:paraId="421C461F" w14:textId="344465BE" w:rsidR="00F960A8" w:rsidRPr="009B75E1" w:rsidRDefault="00F960A8" w:rsidP="00F960A8">
            <w:pPr>
              <w:pStyle w:val="Heading2"/>
              <w:tabs>
                <w:tab w:val="left" w:pos="720"/>
              </w:tabs>
              <w:spacing w:line="240" w:lineRule="auto"/>
              <w:ind w:left="720"/>
              <w:rPr>
                <w:rFonts w:ascii="Palatino" w:eastAsia="Cambria" w:hAnsi="Palatino"/>
                <w:b w:val="0"/>
                <w:bCs w:val="0"/>
                <w:sz w:val="21"/>
                <w:szCs w:val="24"/>
              </w:rPr>
            </w:pPr>
            <w:r w:rsidRPr="00F960A8">
              <w:rPr>
                <w:rFonts w:ascii="Palatino" w:eastAsia="Cambria" w:hAnsi="Palatino"/>
                <w:b w:val="0"/>
                <w:bCs w:val="0"/>
                <w:sz w:val="21"/>
                <w:szCs w:val="24"/>
              </w:rPr>
              <w:t>0.9</w:t>
            </w:r>
          </w:p>
        </w:tc>
      </w:tr>
      <w:tr w:rsidR="00F960A8" w:rsidRPr="009B75E1" w14:paraId="38BD232E" w14:textId="51BAE1A3" w:rsidTr="00F960A8">
        <w:tc>
          <w:tcPr>
            <w:tcW w:w="1239" w:type="pct"/>
            <w:shd w:val="clear" w:color="auto" w:fill="auto"/>
          </w:tcPr>
          <w:p w14:paraId="2C33E978" w14:textId="77777777" w:rsidR="00F960A8" w:rsidRPr="009B75E1" w:rsidRDefault="00F960A8" w:rsidP="00031020">
            <w:pPr>
              <w:pStyle w:val="Heading2"/>
              <w:tabs>
                <w:tab w:val="left" w:pos="720"/>
              </w:tabs>
              <w:spacing w:line="240" w:lineRule="auto"/>
              <w:ind w:left="720"/>
              <w:rPr>
                <w:rFonts w:ascii="Palatino" w:eastAsia="Cambria" w:hAnsi="Palatino"/>
                <w:b w:val="0"/>
                <w:bCs w:val="0"/>
                <w:sz w:val="21"/>
                <w:szCs w:val="24"/>
              </w:rPr>
            </w:pPr>
            <w:r w:rsidRPr="009B75E1">
              <w:rPr>
                <w:rFonts w:ascii="Palatino" w:eastAsia="Cambria" w:hAnsi="Palatino"/>
                <w:b w:val="0"/>
                <w:bCs w:val="0"/>
                <w:sz w:val="21"/>
                <w:szCs w:val="24"/>
              </w:rPr>
              <w:t xml:space="preserve">4 </w:t>
            </w:r>
          </w:p>
        </w:tc>
        <w:tc>
          <w:tcPr>
            <w:tcW w:w="1881" w:type="pct"/>
            <w:shd w:val="clear" w:color="auto" w:fill="auto"/>
          </w:tcPr>
          <w:p w14:paraId="5E90744A" w14:textId="77777777" w:rsidR="00F960A8" w:rsidRPr="009B75E1" w:rsidRDefault="00F960A8" w:rsidP="00031020">
            <w:pPr>
              <w:pStyle w:val="Heading2"/>
              <w:tabs>
                <w:tab w:val="left" w:pos="720"/>
              </w:tabs>
              <w:spacing w:line="240" w:lineRule="auto"/>
              <w:ind w:left="720"/>
              <w:rPr>
                <w:rFonts w:ascii="Palatino" w:eastAsia="Cambria" w:hAnsi="Palatino"/>
                <w:b w:val="0"/>
                <w:bCs w:val="0"/>
                <w:sz w:val="21"/>
                <w:szCs w:val="24"/>
              </w:rPr>
            </w:pPr>
            <w:r w:rsidRPr="009B75E1">
              <w:rPr>
                <w:rFonts w:ascii="Palatino" w:eastAsia="Cambria" w:hAnsi="Palatino"/>
                <w:b w:val="0"/>
                <w:bCs w:val="0"/>
                <w:sz w:val="21"/>
                <w:szCs w:val="24"/>
              </w:rPr>
              <w:t>Bole only, no branches.</w:t>
            </w:r>
          </w:p>
        </w:tc>
        <w:tc>
          <w:tcPr>
            <w:tcW w:w="1880" w:type="pct"/>
          </w:tcPr>
          <w:p w14:paraId="096F03E8" w14:textId="683FBC54" w:rsidR="00F960A8" w:rsidRPr="009B75E1" w:rsidRDefault="00F960A8" w:rsidP="00031020">
            <w:pPr>
              <w:pStyle w:val="Heading2"/>
              <w:tabs>
                <w:tab w:val="left" w:pos="720"/>
              </w:tabs>
              <w:spacing w:line="240" w:lineRule="auto"/>
              <w:ind w:left="720"/>
              <w:rPr>
                <w:rFonts w:ascii="Palatino" w:eastAsia="Cambria" w:hAnsi="Palatino"/>
                <w:b w:val="0"/>
                <w:bCs w:val="0"/>
                <w:sz w:val="21"/>
                <w:szCs w:val="24"/>
              </w:rPr>
            </w:pPr>
            <w:r>
              <w:rPr>
                <w:rFonts w:ascii="Palatino" w:eastAsia="Cambria" w:hAnsi="Palatino"/>
                <w:b w:val="0"/>
                <w:bCs w:val="0"/>
                <w:sz w:val="21"/>
                <w:szCs w:val="24"/>
              </w:rPr>
              <w:t>0.8</w:t>
            </w:r>
          </w:p>
        </w:tc>
      </w:tr>
    </w:tbl>
    <w:p w14:paraId="28744F42" w14:textId="0A02E538" w:rsidR="009D720E" w:rsidRDefault="009D720E" w:rsidP="007344DF">
      <w:pPr>
        <w:rPr>
          <w:b/>
        </w:rPr>
      </w:pPr>
    </w:p>
    <w:p w14:paraId="557F7C2D" w14:textId="180568D1" w:rsidR="00DF6429" w:rsidRDefault="003241D1" w:rsidP="00920365">
      <w:pPr>
        <w:autoSpaceDE w:val="0"/>
        <w:autoSpaceDN w:val="0"/>
        <w:adjustRightInd w:val="0"/>
      </w:pPr>
      <w:r>
        <w:t>C</w:t>
      </w:r>
      <w:r w:rsidR="00920365" w:rsidRPr="001A51F6">
        <w:t xml:space="preserve">arbon stock estimates </w:t>
      </w:r>
      <w:r>
        <w:t xml:space="preserve">derived from </w:t>
      </w:r>
      <w:r w:rsidR="00920365" w:rsidRPr="001A51F6">
        <w:t xml:space="preserve">the </w:t>
      </w:r>
      <w:r>
        <w:t xml:space="preserve">March/April 2020 inventory measurements were assumed to be the same as of the November 26 2019 </w:t>
      </w:r>
      <w:r w:rsidR="00920365" w:rsidRPr="001A51F6">
        <w:t>project start date</w:t>
      </w:r>
      <w:r w:rsidR="00C83E7F" w:rsidRPr="006472F6">
        <w:t>.</w:t>
      </w:r>
    </w:p>
    <w:p w14:paraId="5F660AFC" w14:textId="11440032" w:rsidR="00FA6EF5" w:rsidRDefault="00FA6EF5" w:rsidP="007344DF"/>
    <w:p w14:paraId="1D0BFB87" w14:textId="44B99424" w:rsidR="007D5DD6" w:rsidRDefault="007344DF" w:rsidP="007D5DD6">
      <w:pPr>
        <w:rPr>
          <w:rFonts w:ascii="Calibri" w:hAnsi="Calibri" w:cs="Calibri"/>
          <w:color w:val="000000"/>
        </w:rPr>
      </w:pPr>
      <w:r>
        <w:t>R</w:t>
      </w:r>
      <w:r w:rsidRPr="001A51F6">
        <w:t xml:space="preserve">esults for </w:t>
      </w:r>
      <w:r>
        <w:t>above- and belowground</w:t>
      </w:r>
      <w:r w:rsidRPr="001A51F6">
        <w:t xml:space="preserve"> </w:t>
      </w:r>
      <w:r>
        <w:t xml:space="preserve">(live and dead) </w:t>
      </w:r>
      <w:r w:rsidRPr="001A51F6">
        <w:t xml:space="preserve">tree biomass are </w:t>
      </w:r>
      <w:r w:rsidR="00AD0192">
        <w:t>documented in “</w:t>
      </w:r>
      <w:r w:rsidR="00676137" w:rsidRPr="00676137">
        <w:t>UTK inventory calcs and stats</w:t>
      </w:r>
      <w:r w:rsidR="00003B4A">
        <w:t xml:space="preserve"> </w:t>
      </w:r>
      <w:r w:rsidR="00966B1F">
        <w:t>*</w:t>
      </w:r>
      <w:r w:rsidR="00AD0192">
        <w:t>.xls”</w:t>
      </w:r>
      <w:r w:rsidRPr="001A51F6">
        <w:t>.</w:t>
      </w:r>
      <w:r w:rsidR="004C4753">
        <w:t xml:space="preserve"> </w:t>
      </w:r>
      <w:r w:rsidRPr="00067629">
        <w:t xml:space="preserve">Estimated total stock in live and dead trees at the project start date of </w:t>
      </w:r>
      <w:r w:rsidR="004C4753">
        <w:t xml:space="preserve">November 26 2019 </w:t>
      </w:r>
      <w:r w:rsidRPr="00067629">
        <w:t xml:space="preserve">is </w:t>
      </w:r>
      <w:r w:rsidR="00A04FCF">
        <w:rPr>
          <w:rFonts w:ascii="Calibri" w:eastAsia="Times New Roman" w:hAnsi="Calibri" w:cs="Calibri"/>
          <w:color w:val="000000"/>
        </w:rPr>
        <w:t xml:space="preserve"> </w:t>
      </w:r>
      <w:r w:rsidR="00966B1F" w:rsidRPr="00966B1F">
        <w:rPr>
          <w:rFonts w:ascii="Calibri" w:eastAsia="Times New Roman" w:hAnsi="Calibri" w:cs="Calibri"/>
          <w:color w:val="000000"/>
        </w:rPr>
        <w:t xml:space="preserve">    </w:t>
      </w:r>
      <w:r w:rsidR="00621BE2" w:rsidRPr="00621BE2">
        <w:rPr>
          <w:rFonts w:ascii="Calibri" w:eastAsia="Times New Roman" w:hAnsi="Calibri" w:cs="Calibri"/>
          <w:color w:val="000000"/>
        </w:rPr>
        <w:t xml:space="preserve">       </w:t>
      </w:r>
    </w:p>
    <w:tbl>
      <w:tblPr>
        <w:tblW w:w="1380" w:type="dxa"/>
        <w:tblCellMar>
          <w:left w:w="0" w:type="dxa"/>
          <w:right w:w="0" w:type="dxa"/>
        </w:tblCellMar>
        <w:tblLook w:val="04A0" w:firstRow="1" w:lastRow="0" w:firstColumn="1" w:lastColumn="0" w:noHBand="0" w:noVBand="1"/>
      </w:tblPr>
      <w:tblGrid>
        <w:gridCol w:w="1396"/>
      </w:tblGrid>
      <w:tr w:rsidR="007D5DD6" w14:paraId="491DC3DA" w14:textId="77777777" w:rsidTr="007D5DD6">
        <w:trPr>
          <w:trHeight w:val="570"/>
        </w:trPr>
        <w:tc>
          <w:tcPr>
            <w:tcW w:w="1380" w:type="dxa"/>
            <w:tcBorders>
              <w:top w:val="nil"/>
              <w:left w:val="nil"/>
              <w:bottom w:val="nil"/>
              <w:right w:val="nil"/>
            </w:tcBorders>
            <w:shd w:val="clear" w:color="auto" w:fill="auto"/>
            <w:noWrap/>
            <w:vAlign w:val="bottom"/>
            <w:hideMark/>
          </w:tcPr>
          <w:p w14:paraId="6D6EA786" w14:textId="77777777" w:rsidR="007D5DD6" w:rsidRDefault="007D5DD6">
            <w:pPr>
              <w:rPr>
                <w:rFonts w:ascii="Calibri" w:hAnsi="Calibri" w:cs="Calibri"/>
                <w:color w:val="000000"/>
              </w:rPr>
            </w:pPr>
            <w:r>
              <w:rPr>
                <w:rFonts w:ascii="Calibri" w:hAnsi="Calibri" w:cs="Calibri"/>
                <w:color w:val="000000"/>
              </w:rPr>
              <w:t xml:space="preserve">    2,255,367.4 </w:t>
            </w:r>
          </w:p>
        </w:tc>
      </w:tr>
    </w:tbl>
    <w:p w14:paraId="0E3AAB01" w14:textId="4C8B76B1" w:rsidR="007344DF" w:rsidRPr="00A50C12" w:rsidRDefault="00067629" w:rsidP="007344DF">
      <w:pPr>
        <w:rPr>
          <w:rFonts w:ascii="Calibri" w:eastAsia="Times New Roman" w:hAnsi="Calibri" w:cs="Calibri"/>
          <w:color w:val="000000"/>
        </w:rPr>
      </w:pPr>
      <w:r>
        <w:t xml:space="preserve">t CO2 </w:t>
      </w:r>
      <w:r w:rsidR="00106987">
        <w:t xml:space="preserve">(= </w:t>
      </w:r>
      <w:r w:rsidR="00F2281B">
        <w:t>200.3</w:t>
      </w:r>
      <w:r w:rsidR="007344DF" w:rsidRPr="00067629">
        <w:t xml:space="preserve"> t CO2/ac </w:t>
      </w:r>
      <w:r w:rsidR="004C4753">
        <w:t>* 11,</w:t>
      </w:r>
      <w:r w:rsidR="00106987">
        <w:t>2</w:t>
      </w:r>
      <w:r w:rsidR="00425103">
        <w:t>6</w:t>
      </w:r>
      <w:r w:rsidR="00621BE2">
        <w:t>2.4</w:t>
      </w:r>
      <w:r w:rsidR="00106987">
        <w:t xml:space="preserve"> </w:t>
      </w:r>
      <w:r w:rsidR="004C4753">
        <w:t xml:space="preserve">inventoried </w:t>
      </w:r>
      <w:r w:rsidR="007344DF" w:rsidRPr="00067629">
        <w:t>acres).</w:t>
      </w:r>
    </w:p>
    <w:p w14:paraId="6C9289C8" w14:textId="04CCE783" w:rsidR="007344DF" w:rsidRPr="009F3B30" w:rsidRDefault="007344DF" w:rsidP="007344DF">
      <w:pPr>
        <w:autoSpaceDE w:val="0"/>
        <w:autoSpaceDN w:val="0"/>
        <w:adjustRightInd w:val="0"/>
        <w:rPr>
          <w:b/>
          <w:i/>
        </w:rPr>
      </w:pPr>
      <w:r w:rsidRPr="009F3B30">
        <w:rPr>
          <w:b/>
          <w:i/>
        </w:rPr>
        <w:t>NPV ANALYSIS</w:t>
      </w:r>
    </w:p>
    <w:p w14:paraId="7BECBF5C" w14:textId="77777777" w:rsidR="007344DF" w:rsidRPr="00F04202" w:rsidRDefault="007344DF" w:rsidP="007344DF">
      <w:pPr>
        <w:rPr>
          <w:i/>
        </w:rPr>
      </w:pPr>
      <w:r w:rsidRPr="00F04202">
        <w:rPr>
          <w:i/>
        </w:rPr>
        <w:t>Discount rate assumption</w:t>
      </w:r>
    </w:p>
    <w:p w14:paraId="01398EE1" w14:textId="332F558F" w:rsidR="007344DF" w:rsidRDefault="007344DF" w:rsidP="007344DF">
      <w:r w:rsidRPr="00F04202">
        <w:t>We analyzed the Net Present Value (NPV) of projected cash flows for each baseline stratum for each year over a 100-year period to determine the baseline management scenario.  For purpose</w:t>
      </w:r>
      <w:r>
        <w:t>s</w:t>
      </w:r>
      <w:r w:rsidRPr="00F04202">
        <w:t xml:space="preserve"> of our NPV analysis, we used a real discount rate</w:t>
      </w:r>
      <w:r>
        <w:t xml:space="preserve"> of 4</w:t>
      </w:r>
      <w:r w:rsidRPr="00F04202">
        <w:t xml:space="preserve">%, the rate for </w:t>
      </w:r>
      <w:r>
        <w:t>non-</w:t>
      </w:r>
      <w:r w:rsidR="00663CB0">
        <w:t xml:space="preserve">federal public lands </w:t>
      </w:r>
      <w:r w:rsidRPr="00F04202">
        <w:t xml:space="preserve">stated in the methodology. </w:t>
      </w:r>
    </w:p>
    <w:p w14:paraId="1AADD136" w14:textId="3725E248" w:rsidR="006E0581" w:rsidRDefault="002B430F" w:rsidP="006E0581">
      <w:r>
        <w:t xml:space="preserve">The project chose to calculate a baseline management scenario that reflects what the University would be more likely to implement to meet increased financial needs over </w:t>
      </w:r>
      <w:r w:rsidR="006E0581">
        <w:t>much of the 20-year baseline period. The baseline scenario reflects that forest managers would implement even-aged management via clearcuts on all non-SMZ strata</w:t>
      </w:r>
      <w:r w:rsidR="002C1E1D">
        <w:t>,</w:t>
      </w:r>
      <w:r w:rsidR="006E0581">
        <w:t xml:space="preserve"> except the HR_RG stratum, totaling ~480 acres harvested every year for a 20-year period (~640 over a 15-year period), starting in year 1</w:t>
      </w:r>
      <w:r w:rsidR="006E0581" w:rsidRPr="00B85DBB">
        <w:t xml:space="preserve">. </w:t>
      </w:r>
      <w:r w:rsidR="006E0581">
        <w:t xml:space="preserve">We acknowledge that the harvest intensity would likely be irregular, however, we averaged the estimated acres to be harvested over 15 years, </w:t>
      </w:r>
      <w:r w:rsidR="002C1E1D">
        <w:t>as a reasonable estimate of the overall harvesting intensity during that time period</w:t>
      </w:r>
      <w:r w:rsidR="006E0581">
        <w:t xml:space="preserve">.  The baseline harvest intensity equates to ~4% annually of the total forest over 20 years. </w:t>
      </w:r>
    </w:p>
    <w:p w14:paraId="5486B105" w14:textId="4366ACE9" w:rsidR="006E0581" w:rsidRDefault="006E0581" w:rsidP="006E0581">
      <w:r w:rsidRPr="00D306D5">
        <w:rPr>
          <w:b/>
          <w:bCs/>
        </w:rPr>
        <w:t xml:space="preserve">High </w:t>
      </w:r>
      <w:r>
        <w:rPr>
          <w:b/>
          <w:bCs/>
        </w:rPr>
        <w:t>v</w:t>
      </w:r>
      <w:r w:rsidRPr="00D306D5">
        <w:rPr>
          <w:b/>
          <w:bCs/>
        </w:rPr>
        <w:t xml:space="preserve">alue </w:t>
      </w:r>
      <w:r>
        <w:rPr>
          <w:b/>
          <w:bCs/>
        </w:rPr>
        <w:t>t</w:t>
      </w:r>
      <w:r w:rsidRPr="00D306D5">
        <w:rPr>
          <w:b/>
          <w:bCs/>
        </w:rPr>
        <w:t xml:space="preserve">imber </w:t>
      </w:r>
      <w:r>
        <w:rPr>
          <w:b/>
          <w:bCs/>
        </w:rPr>
        <w:t>s</w:t>
      </w:r>
      <w:r w:rsidRPr="00D306D5">
        <w:rPr>
          <w:b/>
          <w:bCs/>
        </w:rPr>
        <w:t>tocking.</w:t>
      </w:r>
      <w:r>
        <w:t xml:space="preserve"> Approximately 90 percent (10,200 acres) of The University of Tennessee forested properties are comprised of even aged hardwood stands 70-90 years old. These hardwood forests have reached the age where they are financially mature and in economic terms ready to be harvested. The economic </w:t>
      </w:r>
      <w:r w:rsidR="00CE7277">
        <w:t>return</w:t>
      </w:r>
      <w:r>
        <w:t xml:space="preserve"> of the forests will continue to decline as they age, increasing the likelihood that the forests would be harvested in the coming years. These economically mature forests, coupled with high value hardwood species such as oak and hickory, provide significant conservation value to the region as well as economic value to the University.</w:t>
      </w:r>
    </w:p>
    <w:p w14:paraId="5B7588BB" w14:textId="4E41EDB3" w:rsidR="002B430F" w:rsidRPr="00F04202" w:rsidRDefault="002B430F" w:rsidP="007344DF"/>
    <w:p w14:paraId="430BA17A" w14:textId="3ED38D40" w:rsidR="007344DF" w:rsidRPr="00FC5FB8" w:rsidRDefault="003241D1" w:rsidP="007344DF">
      <w:pPr>
        <w:rPr>
          <w:i/>
        </w:rPr>
      </w:pPr>
      <w:r>
        <w:rPr>
          <w:i/>
        </w:rPr>
        <w:t>Growth and yield modeling</w:t>
      </w:r>
      <w:r w:rsidR="007344DF" w:rsidRPr="00FC5FB8">
        <w:rPr>
          <w:i/>
        </w:rPr>
        <w:t xml:space="preserve"> </w:t>
      </w:r>
    </w:p>
    <w:p w14:paraId="0C0FB693" w14:textId="700F3F1D" w:rsidR="00425103" w:rsidRDefault="003241D1" w:rsidP="003241D1">
      <w:r>
        <w:t>The FVS-SN</w:t>
      </w:r>
      <w:r w:rsidRPr="006472F6">
        <w:t xml:space="preserve"> model was calibrated to the</w:t>
      </w:r>
      <w:r>
        <w:t xml:space="preserve"> project area </w:t>
      </w:r>
      <w:r w:rsidRPr="006472F6">
        <w:t>en</w:t>
      </w:r>
      <w:r>
        <w:t xml:space="preserve">tering the FVS location code </w:t>
      </w:r>
      <w:r w:rsidR="00031020">
        <w:t>80216</w:t>
      </w:r>
      <w:r w:rsidR="00031020" w:rsidRPr="006472F6">
        <w:t xml:space="preserve"> (</w:t>
      </w:r>
      <w:r w:rsidR="00031020">
        <w:t>Stearns District, Daniel Boone NF</w:t>
      </w:r>
      <w:r w:rsidRPr="006472F6">
        <w:t>)</w:t>
      </w:r>
      <w:r w:rsidR="00031020">
        <w:t xml:space="preserve"> </w:t>
      </w:r>
      <w:r w:rsidRPr="006472F6">
        <w:t xml:space="preserve">and </w:t>
      </w:r>
      <w:r>
        <w:t xml:space="preserve">site index, determined using the NRCS Web Soil Survey database. </w:t>
      </w:r>
      <w:r w:rsidR="00425103">
        <w:t>Ecoregion codes were set as follows:</w:t>
      </w:r>
    </w:p>
    <w:p w14:paraId="270A35EF" w14:textId="77777777" w:rsidR="00425103" w:rsidRDefault="00425103" w:rsidP="000D69A4">
      <w:pPr>
        <w:ind w:left="720"/>
        <w:rPr>
          <w:rFonts w:ascii="Calibri" w:hAnsi="Calibri" w:cs="Calibri"/>
        </w:rPr>
      </w:pPr>
      <w:r>
        <w:rPr>
          <w:rFonts w:ascii="Calibri" w:hAnsi="Calibri" w:cs="Calibri"/>
        </w:rPr>
        <w:t>North and South Cumberland – M221Cd (Southern Cumberland Mountains)</w:t>
      </w:r>
    </w:p>
    <w:p w14:paraId="4DC3E239" w14:textId="77777777" w:rsidR="00425103" w:rsidRDefault="00425103" w:rsidP="000D69A4">
      <w:pPr>
        <w:ind w:left="720"/>
        <w:rPr>
          <w:rFonts w:ascii="Calibri" w:hAnsi="Calibri" w:cs="Calibri"/>
        </w:rPr>
      </w:pPr>
      <w:r>
        <w:rPr>
          <w:rFonts w:ascii="Calibri" w:hAnsi="Calibri" w:cs="Calibri"/>
        </w:rPr>
        <w:t>Oak Ridge – 221Ja (Rolling Limestone Hills)</w:t>
      </w:r>
    </w:p>
    <w:p w14:paraId="6ECA7AB9" w14:textId="2E3EE63D" w:rsidR="00425103" w:rsidRDefault="00425103" w:rsidP="000D69A4">
      <w:pPr>
        <w:ind w:left="720"/>
        <w:rPr>
          <w:rFonts w:ascii="Calibri" w:hAnsi="Calibri" w:cs="Calibri"/>
        </w:rPr>
      </w:pPr>
      <w:r>
        <w:rPr>
          <w:rFonts w:ascii="Calibri" w:hAnsi="Calibri" w:cs="Calibri"/>
        </w:rPr>
        <w:t>Highland Rim (all strata) – 223Eb (Eastern Karst Plain)</w:t>
      </w:r>
    </w:p>
    <w:p w14:paraId="2DCA9665" w14:textId="6B2F31E2" w:rsidR="003241D1" w:rsidRDefault="003241D1" w:rsidP="003241D1">
      <w:r>
        <w:t xml:space="preserve">We calculated the </w:t>
      </w:r>
      <w:r w:rsidR="00130DE6">
        <w:t xml:space="preserve">approximate </w:t>
      </w:r>
      <w:r>
        <w:t>area-weighted average site index within each stratum, as shown in Table E5, below and documented in “</w:t>
      </w:r>
      <w:r w:rsidR="00031020" w:rsidRPr="00031020">
        <w:t>UTK_site_index</w:t>
      </w:r>
      <w:r>
        <w:t xml:space="preserve">.xlsx”. The site index was established based on a reference tree species for each stratum. Reference species were selected based on relative dominance (in terms of basal area) and </w:t>
      </w:r>
      <w:r w:rsidR="00BB40A1">
        <w:t xml:space="preserve">extent of areal </w:t>
      </w:r>
      <w:r>
        <w:t xml:space="preserve">representation in the NRCS dataset. For the </w:t>
      </w:r>
      <w:r w:rsidR="00BB40A1">
        <w:t xml:space="preserve">HR_RG </w:t>
      </w:r>
      <w:r>
        <w:t xml:space="preserve">stratum, we selected shortleaf pine as the reference species because this is the anticipated dominant species in the stratum. </w:t>
      </w:r>
    </w:p>
    <w:p w14:paraId="4FF87908" w14:textId="0006C90C" w:rsidR="003241D1" w:rsidRPr="00802C7B" w:rsidRDefault="003241D1" w:rsidP="003241D1">
      <w:pPr>
        <w:rPr>
          <w:b/>
        </w:rPr>
      </w:pPr>
      <w:r>
        <w:rPr>
          <w:b/>
        </w:rPr>
        <w:t xml:space="preserve">Table E5. Summary of Site Index for each stratum in the </w:t>
      </w:r>
      <w:r w:rsidR="00BB40A1">
        <w:rPr>
          <w:b/>
        </w:rPr>
        <w:t xml:space="preserve">UT IFM </w:t>
      </w:r>
      <w:r>
        <w:rPr>
          <w:b/>
        </w:rPr>
        <w:t>project area using the NRCS W</w:t>
      </w:r>
      <w:r w:rsidR="00BB40A1">
        <w:rPr>
          <w:b/>
        </w:rPr>
        <w:t>eb Soil Survey. The site index</w:t>
      </w:r>
      <w:r>
        <w:rPr>
          <w:b/>
        </w:rPr>
        <w:t xml:space="preserve"> is the average height, in feet, that dominant and codominant trees of a given species attain at age 50. The site index applies to fully stocked, even-aged, unmanaged stands (NRCS). </w:t>
      </w:r>
    </w:p>
    <w:tbl>
      <w:tblPr>
        <w:tblW w:w="6643"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4"/>
        <w:gridCol w:w="2136"/>
        <w:gridCol w:w="1533"/>
      </w:tblGrid>
      <w:tr w:rsidR="00BB40A1" w14:paraId="08D40AC9" w14:textId="77777777" w:rsidTr="00BB40A1">
        <w:trPr>
          <w:trHeight w:val="824"/>
        </w:trPr>
        <w:tc>
          <w:tcPr>
            <w:tcW w:w="2974" w:type="dxa"/>
          </w:tcPr>
          <w:p w14:paraId="0A4807AB" w14:textId="77777777" w:rsidR="00BB40A1" w:rsidRDefault="00BB40A1" w:rsidP="00031020">
            <w:pPr>
              <w:autoSpaceDE w:val="0"/>
              <w:autoSpaceDN w:val="0"/>
              <w:adjustRightInd w:val="0"/>
              <w:rPr>
                <w:rFonts w:ascii="Arial" w:hAnsi="Arial" w:cs="Arial"/>
                <w:b/>
                <w:bCs/>
                <w:color w:val="000000"/>
                <w:sz w:val="20"/>
                <w:szCs w:val="20"/>
              </w:rPr>
            </w:pPr>
            <w:r>
              <w:rPr>
                <w:rFonts w:ascii="Arial" w:hAnsi="Arial" w:cs="Arial"/>
                <w:b/>
                <w:bCs/>
                <w:color w:val="000000"/>
                <w:sz w:val="20"/>
                <w:szCs w:val="20"/>
              </w:rPr>
              <w:t>Stratum</w:t>
            </w:r>
          </w:p>
        </w:tc>
        <w:tc>
          <w:tcPr>
            <w:tcW w:w="2136" w:type="dxa"/>
          </w:tcPr>
          <w:p w14:paraId="085AE3D8" w14:textId="77777777" w:rsidR="00BB40A1" w:rsidRDefault="00BB40A1" w:rsidP="00031020">
            <w:pPr>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Site Index (Area-weighted average based on NRCS Soil Data Viewer)</w:t>
            </w:r>
          </w:p>
        </w:tc>
        <w:tc>
          <w:tcPr>
            <w:tcW w:w="1533" w:type="dxa"/>
          </w:tcPr>
          <w:p w14:paraId="21E39C34" w14:textId="77777777" w:rsidR="00BB40A1" w:rsidRDefault="00BB40A1" w:rsidP="00031020">
            <w:pPr>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Reference Tree Species</w:t>
            </w:r>
          </w:p>
        </w:tc>
      </w:tr>
      <w:tr w:rsidR="00BB40A1" w14:paraId="6E99B07E" w14:textId="77777777" w:rsidTr="00BB40A1">
        <w:trPr>
          <w:trHeight w:val="339"/>
        </w:trPr>
        <w:tc>
          <w:tcPr>
            <w:tcW w:w="2974" w:type="dxa"/>
            <w:vAlign w:val="bottom"/>
          </w:tcPr>
          <w:p w14:paraId="49AE7C70" w14:textId="4E280549" w:rsidR="00BB40A1" w:rsidRDefault="00BB40A1" w:rsidP="00BB40A1">
            <w:pPr>
              <w:autoSpaceDE w:val="0"/>
              <w:autoSpaceDN w:val="0"/>
              <w:adjustRightInd w:val="0"/>
              <w:rPr>
                <w:rFonts w:ascii="Arial" w:hAnsi="Arial" w:cs="Arial"/>
                <w:color w:val="000000"/>
                <w:sz w:val="20"/>
                <w:szCs w:val="20"/>
              </w:rPr>
            </w:pPr>
            <w:r>
              <w:rPr>
                <w:rFonts w:ascii="Calibri" w:hAnsi="Calibri" w:cs="Calibri"/>
                <w:color w:val="000000"/>
              </w:rPr>
              <w:t>CN</w:t>
            </w:r>
          </w:p>
        </w:tc>
        <w:tc>
          <w:tcPr>
            <w:tcW w:w="2136" w:type="dxa"/>
            <w:vAlign w:val="bottom"/>
          </w:tcPr>
          <w:p w14:paraId="45E8B01A" w14:textId="01FB35C3" w:rsidR="00BB40A1" w:rsidRDefault="00BB40A1" w:rsidP="00BB40A1">
            <w:pPr>
              <w:autoSpaceDE w:val="0"/>
              <w:autoSpaceDN w:val="0"/>
              <w:adjustRightInd w:val="0"/>
              <w:jc w:val="center"/>
              <w:rPr>
                <w:rFonts w:ascii="Arial" w:hAnsi="Arial" w:cs="Arial"/>
                <w:color w:val="000000"/>
                <w:sz w:val="20"/>
                <w:szCs w:val="20"/>
              </w:rPr>
            </w:pPr>
            <w:r>
              <w:rPr>
                <w:rFonts w:ascii="Calibri" w:hAnsi="Calibri" w:cs="Calibri"/>
                <w:color w:val="000000"/>
              </w:rPr>
              <w:t>90</w:t>
            </w:r>
          </w:p>
        </w:tc>
        <w:tc>
          <w:tcPr>
            <w:tcW w:w="1533" w:type="dxa"/>
            <w:vAlign w:val="bottom"/>
          </w:tcPr>
          <w:p w14:paraId="0AB8A001" w14:textId="60E96487" w:rsidR="00BB40A1" w:rsidRDefault="00F34540" w:rsidP="00BB40A1">
            <w:pPr>
              <w:autoSpaceDE w:val="0"/>
              <w:autoSpaceDN w:val="0"/>
              <w:adjustRightInd w:val="0"/>
              <w:jc w:val="center"/>
              <w:rPr>
                <w:rFonts w:ascii="Arial" w:hAnsi="Arial" w:cs="Arial"/>
                <w:color w:val="000000"/>
                <w:sz w:val="20"/>
                <w:szCs w:val="20"/>
              </w:rPr>
            </w:pPr>
            <w:r>
              <w:rPr>
                <w:rFonts w:ascii="Calibri" w:hAnsi="Calibri" w:cs="Calibri"/>
                <w:color w:val="000000"/>
              </w:rPr>
              <w:t>Yellow poplar</w:t>
            </w:r>
          </w:p>
        </w:tc>
      </w:tr>
      <w:tr w:rsidR="00BB40A1" w14:paraId="3E304915" w14:textId="77777777" w:rsidTr="00BB40A1">
        <w:trPr>
          <w:trHeight w:val="339"/>
        </w:trPr>
        <w:tc>
          <w:tcPr>
            <w:tcW w:w="2974" w:type="dxa"/>
            <w:vAlign w:val="bottom"/>
          </w:tcPr>
          <w:p w14:paraId="1914C6AA" w14:textId="227E2011" w:rsidR="00BB40A1" w:rsidRDefault="00BB40A1" w:rsidP="00BB40A1">
            <w:pPr>
              <w:autoSpaceDE w:val="0"/>
              <w:autoSpaceDN w:val="0"/>
              <w:adjustRightInd w:val="0"/>
              <w:rPr>
                <w:rFonts w:ascii="Arial" w:hAnsi="Arial" w:cs="Arial"/>
                <w:color w:val="000000"/>
                <w:sz w:val="20"/>
                <w:szCs w:val="20"/>
              </w:rPr>
            </w:pPr>
            <w:r>
              <w:rPr>
                <w:rFonts w:ascii="Calibri" w:hAnsi="Calibri" w:cs="Calibri"/>
                <w:color w:val="000000"/>
              </w:rPr>
              <w:t>CS</w:t>
            </w:r>
          </w:p>
        </w:tc>
        <w:tc>
          <w:tcPr>
            <w:tcW w:w="2136" w:type="dxa"/>
            <w:vAlign w:val="bottom"/>
          </w:tcPr>
          <w:p w14:paraId="4D162905" w14:textId="412F544F" w:rsidR="00BB40A1" w:rsidRDefault="00BB40A1" w:rsidP="00BB40A1">
            <w:pPr>
              <w:autoSpaceDE w:val="0"/>
              <w:autoSpaceDN w:val="0"/>
              <w:adjustRightInd w:val="0"/>
              <w:jc w:val="center"/>
              <w:rPr>
                <w:rFonts w:ascii="Arial" w:hAnsi="Arial" w:cs="Arial"/>
                <w:color w:val="000000"/>
                <w:sz w:val="20"/>
                <w:szCs w:val="20"/>
              </w:rPr>
            </w:pPr>
            <w:r>
              <w:rPr>
                <w:rFonts w:ascii="Calibri" w:hAnsi="Calibri" w:cs="Calibri"/>
                <w:color w:val="000000"/>
              </w:rPr>
              <w:t>90</w:t>
            </w:r>
          </w:p>
        </w:tc>
        <w:tc>
          <w:tcPr>
            <w:tcW w:w="1533" w:type="dxa"/>
            <w:vAlign w:val="bottom"/>
          </w:tcPr>
          <w:p w14:paraId="663086AC" w14:textId="1A5C01A5" w:rsidR="00BB40A1" w:rsidRDefault="00F34540" w:rsidP="00BB40A1">
            <w:pPr>
              <w:autoSpaceDE w:val="0"/>
              <w:autoSpaceDN w:val="0"/>
              <w:adjustRightInd w:val="0"/>
              <w:jc w:val="center"/>
              <w:rPr>
                <w:rFonts w:ascii="Arial" w:hAnsi="Arial" w:cs="Arial"/>
                <w:color w:val="000000"/>
                <w:sz w:val="20"/>
                <w:szCs w:val="20"/>
              </w:rPr>
            </w:pPr>
            <w:r>
              <w:rPr>
                <w:rFonts w:ascii="Calibri" w:hAnsi="Calibri" w:cs="Calibri"/>
                <w:color w:val="000000"/>
              </w:rPr>
              <w:t>Yellow poplar</w:t>
            </w:r>
          </w:p>
        </w:tc>
      </w:tr>
      <w:tr w:rsidR="00BB40A1" w14:paraId="4E8DAFF5" w14:textId="77777777" w:rsidTr="00BB40A1">
        <w:trPr>
          <w:trHeight w:val="339"/>
        </w:trPr>
        <w:tc>
          <w:tcPr>
            <w:tcW w:w="2974" w:type="dxa"/>
            <w:vAlign w:val="bottom"/>
          </w:tcPr>
          <w:p w14:paraId="5D707A93" w14:textId="4623D62B" w:rsidR="00BB40A1" w:rsidRDefault="00BB40A1" w:rsidP="00BB40A1">
            <w:pPr>
              <w:autoSpaceDE w:val="0"/>
              <w:autoSpaceDN w:val="0"/>
              <w:adjustRightInd w:val="0"/>
              <w:rPr>
                <w:rFonts w:ascii="Arial" w:hAnsi="Arial" w:cs="Arial"/>
                <w:color w:val="000000"/>
                <w:sz w:val="20"/>
                <w:szCs w:val="20"/>
              </w:rPr>
            </w:pPr>
            <w:r>
              <w:rPr>
                <w:rFonts w:ascii="Calibri" w:hAnsi="Calibri" w:cs="Calibri"/>
                <w:color w:val="000000"/>
              </w:rPr>
              <w:t>HR_HW</w:t>
            </w:r>
          </w:p>
        </w:tc>
        <w:tc>
          <w:tcPr>
            <w:tcW w:w="2136" w:type="dxa"/>
            <w:vAlign w:val="bottom"/>
          </w:tcPr>
          <w:p w14:paraId="3F1B5256" w14:textId="66EDD4BF" w:rsidR="00BB40A1" w:rsidRDefault="00BB40A1" w:rsidP="00BB40A1">
            <w:pPr>
              <w:autoSpaceDE w:val="0"/>
              <w:autoSpaceDN w:val="0"/>
              <w:adjustRightInd w:val="0"/>
              <w:jc w:val="center"/>
              <w:rPr>
                <w:rFonts w:ascii="Arial" w:hAnsi="Arial" w:cs="Arial"/>
                <w:color w:val="000000"/>
                <w:sz w:val="20"/>
                <w:szCs w:val="20"/>
              </w:rPr>
            </w:pPr>
            <w:r>
              <w:rPr>
                <w:rFonts w:ascii="Calibri" w:hAnsi="Calibri" w:cs="Calibri"/>
                <w:color w:val="000000"/>
              </w:rPr>
              <w:t>75</w:t>
            </w:r>
          </w:p>
        </w:tc>
        <w:tc>
          <w:tcPr>
            <w:tcW w:w="1533" w:type="dxa"/>
            <w:vAlign w:val="bottom"/>
          </w:tcPr>
          <w:p w14:paraId="16328D87" w14:textId="1887915E" w:rsidR="00BB40A1" w:rsidRDefault="00F34540" w:rsidP="00BB40A1">
            <w:pPr>
              <w:autoSpaceDE w:val="0"/>
              <w:autoSpaceDN w:val="0"/>
              <w:adjustRightInd w:val="0"/>
              <w:jc w:val="center"/>
              <w:rPr>
                <w:rFonts w:ascii="Arial" w:hAnsi="Arial" w:cs="Arial"/>
                <w:color w:val="000000"/>
                <w:sz w:val="20"/>
                <w:szCs w:val="20"/>
              </w:rPr>
            </w:pPr>
            <w:r>
              <w:rPr>
                <w:rFonts w:ascii="Calibri" w:hAnsi="Calibri" w:cs="Calibri"/>
                <w:color w:val="000000"/>
              </w:rPr>
              <w:t>Southern red oak</w:t>
            </w:r>
          </w:p>
        </w:tc>
      </w:tr>
      <w:tr w:rsidR="00BB40A1" w14:paraId="6288D497" w14:textId="77777777" w:rsidTr="00BB40A1">
        <w:trPr>
          <w:trHeight w:val="169"/>
        </w:trPr>
        <w:tc>
          <w:tcPr>
            <w:tcW w:w="2974" w:type="dxa"/>
            <w:vAlign w:val="bottom"/>
          </w:tcPr>
          <w:p w14:paraId="2CA43873" w14:textId="7D9D99F8" w:rsidR="00BB40A1" w:rsidRDefault="00BB40A1" w:rsidP="00BB40A1">
            <w:pPr>
              <w:autoSpaceDE w:val="0"/>
              <w:autoSpaceDN w:val="0"/>
              <w:adjustRightInd w:val="0"/>
              <w:rPr>
                <w:rFonts w:ascii="Arial" w:hAnsi="Arial" w:cs="Arial"/>
                <w:color w:val="000000"/>
                <w:sz w:val="20"/>
                <w:szCs w:val="20"/>
              </w:rPr>
            </w:pPr>
            <w:r>
              <w:rPr>
                <w:rFonts w:ascii="Calibri" w:hAnsi="Calibri" w:cs="Calibri"/>
                <w:color w:val="000000"/>
              </w:rPr>
              <w:t>HR_PI</w:t>
            </w:r>
          </w:p>
        </w:tc>
        <w:tc>
          <w:tcPr>
            <w:tcW w:w="2136" w:type="dxa"/>
            <w:vAlign w:val="bottom"/>
          </w:tcPr>
          <w:p w14:paraId="33166394" w14:textId="33B507BC" w:rsidR="00BB40A1" w:rsidRDefault="00BB40A1" w:rsidP="00BB40A1">
            <w:pPr>
              <w:autoSpaceDE w:val="0"/>
              <w:autoSpaceDN w:val="0"/>
              <w:adjustRightInd w:val="0"/>
              <w:jc w:val="center"/>
              <w:rPr>
                <w:rFonts w:ascii="Arial" w:hAnsi="Arial" w:cs="Arial"/>
                <w:color w:val="000000"/>
                <w:sz w:val="20"/>
                <w:szCs w:val="20"/>
              </w:rPr>
            </w:pPr>
            <w:r>
              <w:rPr>
                <w:rFonts w:ascii="Calibri" w:hAnsi="Calibri" w:cs="Calibri"/>
                <w:color w:val="000000"/>
              </w:rPr>
              <w:t>73</w:t>
            </w:r>
          </w:p>
        </w:tc>
        <w:tc>
          <w:tcPr>
            <w:tcW w:w="1533" w:type="dxa"/>
            <w:vAlign w:val="bottom"/>
          </w:tcPr>
          <w:p w14:paraId="7CF6E966" w14:textId="570CBFAD" w:rsidR="00BB40A1" w:rsidRDefault="00F34540" w:rsidP="00BB40A1">
            <w:pPr>
              <w:autoSpaceDE w:val="0"/>
              <w:autoSpaceDN w:val="0"/>
              <w:adjustRightInd w:val="0"/>
              <w:jc w:val="center"/>
              <w:rPr>
                <w:rFonts w:ascii="Arial" w:hAnsi="Arial" w:cs="Arial"/>
                <w:color w:val="000000"/>
                <w:sz w:val="20"/>
                <w:szCs w:val="20"/>
              </w:rPr>
            </w:pPr>
            <w:r>
              <w:rPr>
                <w:rFonts w:ascii="Calibri" w:hAnsi="Calibri" w:cs="Calibri"/>
                <w:color w:val="000000"/>
              </w:rPr>
              <w:t>Loblolly pine</w:t>
            </w:r>
          </w:p>
        </w:tc>
      </w:tr>
      <w:tr w:rsidR="00BB40A1" w14:paraId="26186CDA" w14:textId="77777777" w:rsidTr="00BB40A1">
        <w:trPr>
          <w:trHeight w:val="169"/>
        </w:trPr>
        <w:tc>
          <w:tcPr>
            <w:tcW w:w="2974" w:type="dxa"/>
            <w:vAlign w:val="bottom"/>
          </w:tcPr>
          <w:p w14:paraId="07974AE8" w14:textId="2228BDCD" w:rsidR="00BB40A1" w:rsidRDefault="00BB40A1" w:rsidP="00BB40A1">
            <w:pPr>
              <w:autoSpaceDE w:val="0"/>
              <w:autoSpaceDN w:val="0"/>
              <w:adjustRightInd w:val="0"/>
              <w:rPr>
                <w:rFonts w:ascii="Arial" w:hAnsi="Arial" w:cs="Arial"/>
                <w:color w:val="000000"/>
                <w:sz w:val="20"/>
                <w:szCs w:val="20"/>
              </w:rPr>
            </w:pPr>
            <w:r>
              <w:rPr>
                <w:rFonts w:ascii="Calibri" w:hAnsi="Calibri" w:cs="Calibri"/>
                <w:color w:val="000000"/>
              </w:rPr>
              <w:t>OR</w:t>
            </w:r>
          </w:p>
        </w:tc>
        <w:tc>
          <w:tcPr>
            <w:tcW w:w="2136" w:type="dxa"/>
            <w:vAlign w:val="bottom"/>
          </w:tcPr>
          <w:p w14:paraId="52216BAA" w14:textId="42F68406" w:rsidR="00BB40A1" w:rsidRDefault="00BB40A1" w:rsidP="00BB40A1">
            <w:pPr>
              <w:autoSpaceDE w:val="0"/>
              <w:autoSpaceDN w:val="0"/>
              <w:adjustRightInd w:val="0"/>
              <w:jc w:val="center"/>
              <w:rPr>
                <w:rFonts w:ascii="Arial" w:hAnsi="Arial" w:cs="Arial"/>
                <w:color w:val="000000"/>
                <w:sz w:val="20"/>
                <w:szCs w:val="20"/>
              </w:rPr>
            </w:pPr>
            <w:r>
              <w:rPr>
                <w:rFonts w:ascii="Calibri" w:hAnsi="Calibri" w:cs="Calibri"/>
                <w:color w:val="000000"/>
              </w:rPr>
              <w:t>65</w:t>
            </w:r>
          </w:p>
        </w:tc>
        <w:tc>
          <w:tcPr>
            <w:tcW w:w="1533" w:type="dxa"/>
            <w:vAlign w:val="bottom"/>
          </w:tcPr>
          <w:p w14:paraId="672C3A3D" w14:textId="524A8357" w:rsidR="00BB40A1" w:rsidRDefault="00F34540" w:rsidP="00BB40A1">
            <w:pPr>
              <w:autoSpaceDE w:val="0"/>
              <w:autoSpaceDN w:val="0"/>
              <w:adjustRightInd w:val="0"/>
              <w:jc w:val="center"/>
              <w:rPr>
                <w:rFonts w:ascii="Arial" w:hAnsi="Arial" w:cs="Arial"/>
                <w:color w:val="000000"/>
                <w:sz w:val="20"/>
                <w:szCs w:val="20"/>
              </w:rPr>
            </w:pPr>
            <w:r>
              <w:rPr>
                <w:rFonts w:ascii="Calibri" w:hAnsi="Calibri" w:cs="Calibri"/>
                <w:color w:val="000000"/>
              </w:rPr>
              <w:t>White oak</w:t>
            </w:r>
          </w:p>
        </w:tc>
      </w:tr>
      <w:tr w:rsidR="00BB40A1" w14:paraId="5A8ED7A6" w14:textId="77777777" w:rsidTr="00BB40A1">
        <w:trPr>
          <w:trHeight w:val="169"/>
        </w:trPr>
        <w:tc>
          <w:tcPr>
            <w:tcW w:w="2974" w:type="dxa"/>
            <w:vAlign w:val="bottom"/>
          </w:tcPr>
          <w:p w14:paraId="7BEA9EC8" w14:textId="10061AF2" w:rsidR="00BB40A1" w:rsidRDefault="00BB40A1" w:rsidP="00BB40A1">
            <w:pPr>
              <w:autoSpaceDE w:val="0"/>
              <w:autoSpaceDN w:val="0"/>
              <w:adjustRightInd w:val="0"/>
              <w:rPr>
                <w:rFonts w:ascii="Arial" w:hAnsi="Arial" w:cs="Arial"/>
                <w:color w:val="000000"/>
                <w:sz w:val="20"/>
                <w:szCs w:val="20"/>
              </w:rPr>
            </w:pPr>
            <w:r>
              <w:rPr>
                <w:rFonts w:ascii="Calibri" w:hAnsi="Calibri" w:cs="Calibri"/>
                <w:color w:val="000000"/>
              </w:rPr>
              <w:t>HR_RG</w:t>
            </w:r>
          </w:p>
        </w:tc>
        <w:tc>
          <w:tcPr>
            <w:tcW w:w="2136" w:type="dxa"/>
            <w:vAlign w:val="bottom"/>
          </w:tcPr>
          <w:p w14:paraId="72DA4681" w14:textId="0633B406" w:rsidR="00BB40A1" w:rsidRDefault="00BB40A1" w:rsidP="00BB40A1">
            <w:pPr>
              <w:autoSpaceDE w:val="0"/>
              <w:autoSpaceDN w:val="0"/>
              <w:adjustRightInd w:val="0"/>
              <w:jc w:val="center"/>
              <w:rPr>
                <w:rFonts w:ascii="Arial" w:hAnsi="Arial" w:cs="Arial"/>
                <w:color w:val="000000"/>
                <w:sz w:val="20"/>
                <w:szCs w:val="20"/>
              </w:rPr>
            </w:pPr>
            <w:r>
              <w:rPr>
                <w:rFonts w:ascii="Calibri" w:hAnsi="Calibri" w:cs="Calibri"/>
                <w:color w:val="000000"/>
              </w:rPr>
              <w:t>70</w:t>
            </w:r>
          </w:p>
        </w:tc>
        <w:tc>
          <w:tcPr>
            <w:tcW w:w="1533" w:type="dxa"/>
            <w:vAlign w:val="bottom"/>
          </w:tcPr>
          <w:p w14:paraId="3ACFB9C6" w14:textId="1E004B9D" w:rsidR="00BB40A1" w:rsidRDefault="00F34540" w:rsidP="00BB40A1">
            <w:pPr>
              <w:autoSpaceDE w:val="0"/>
              <w:autoSpaceDN w:val="0"/>
              <w:adjustRightInd w:val="0"/>
              <w:jc w:val="center"/>
              <w:rPr>
                <w:rFonts w:ascii="Arial" w:hAnsi="Arial" w:cs="Arial"/>
                <w:color w:val="000000"/>
                <w:sz w:val="20"/>
                <w:szCs w:val="20"/>
              </w:rPr>
            </w:pPr>
            <w:r>
              <w:rPr>
                <w:rFonts w:ascii="Calibri" w:hAnsi="Calibri" w:cs="Calibri"/>
                <w:color w:val="000000"/>
              </w:rPr>
              <w:t>Shortleaf pine</w:t>
            </w:r>
          </w:p>
        </w:tc>
      </w:tr>
    </w:tbl>
    <w:p w14:paraId="3650831E" w14:textId="77777777" w:rsidR="003241D1" w:rsidRDefault="003241D1" w:rsidP="003241D1"/>
    <w:p w14:paraId="49C2DCB5" w14:textId="77777777" w:rsidR="003241D1" w:rsidRPr="001A51F6" w:rsidRDefault="003241D1" w:rsidP="003241D1">
      <w:pPr>
        <w:autoSpaceDE w:val="0"/>
        <w:autoSpaceDN w:val="0"/>
        <w:adjustRightInd w:val="0"/>
      </w:pPr>
      <w:r w:rsidRPr="001A51F6">
        <w:t>The FVS “NoTriple” command was entered to avoid excessive tree records and speed processing</w:t>
      </w:r>
      <w:r>
        <w:t>, and to track individual trees and permit cross-referencing to inventory dataset</w:t>
      </w:r>
      <w:r w:rsidRPr="001A51F6">
        <w:t>.</w:t>
      </w:r>
    </w:p>
    <w:p w14:paraId="06B0AB6A" w14:textId="3A89B18F" w:rsidR="00F34540" w:rsidRDefault="007344DF" w:rsidP="00F34540">
      <w:pPr>
        <w:rPr>
          <w:rFonts w:ascii="Palatino Linotype" w:hAnsi="Palatino Linotype"/>
          <w:color w:val="000000"/>
        </w:rPr>
      </w:pPr>
      <w:r w:rsidRPr="00F04202">
        <w:t xml:space="preserve">To compute the net present value for each stratum, we first modeled harvestable timber from sawlogs and from pulp from the </w:t>
      </w:r>
      <w:r w:rsidR="00F34540">
        <w:t xml:space="preserve">2020 </w:t>
      </w:r>
      <w:r w:rsidRPr="00F04202">
        <w:t xml:space="preserve">inventory data for 100 years using </w:t>
      </w:r>
      <w:r w:rsidR="00920365">
        <w:t>FVS-SN</w:t>
      </w:r>
      <w:r w:rsidR="001C6FB9">
        <w:t>, using the specifications applied above</w:t>
      </w:r>
      <w:r w:rsidRPr="00F04202">
        <w:t xml:space="preserve">. </w:t>
      </w:r>
      <w:r w:rsidR="00F34540" w:rsidRPr="00E71803">
        <w:t xml:space="preserve">The un-inventoried </w:t>
      </w:r>
      <w:r w:rsidR="00F34540">
        <w:t xml:space="preserve">HR_RG </w:t>
      </w:r>
      <w:r w:rsidR="00F34540" w:rsidRPr="00E71803">
        <w:t>stratum</w:t>
      </w:r>
      <w:r w:rsidR="00770512">
        <w:t>, regenerated in 2014,</w:t>
      </w:r>
      <w:r w:rsidR="00F34540" w:rsidRPr="00E71803">
        <w:t xml:space="preserve"> was “planted” in FVS entering data on average height and trees per acre by species collected on 10 fixed area (</w:t>
      </w:r>
      <w:r w:rsidR="00973E46">
        <w:t>1/100 ac</w:t>
      </w:r>
      <w:r w:rsidR="00F34540" w:rsidRPr="00E71803">
        <w:t xml:space="preserve">) plots measured in the stratum during </w:t>
      </w:r>
      <w:r w:rsidR="00973E46">
        <w:t xml:space="preserve">the 2020 inventory </w:t>
      </w:r>
      <w:r w:rsidR="00F34540" w:rsidRPr="00E71803">
        <w:t>(Ta</w:t>
      </w:r>
      <w:r w:rsidR="000542CB">
        <w:t>ble E6</w:t>
      </w:r>
      <w:r w:rsidR="00F34540" w:rsidRPr="00E71803">
        <w:t>).</w:t>
      </w:r>
    </w:p>
    <w:p w14:paraId="42ACC4A5" w14:textId="6872156F" w:rsidR="00F34540" w:rsidRPr="008D236C" w:rsidRDefault="00F34540" w:rsidP="00F34540">
      <w:pPr>
        <w:rPr>
          <w:rFonts w:cstheme="minorHAnsi"/>
          <w:b/>
          <w:color w:val="000000"/>
        </w:rPr>
      </w:pPr>
      <w:r w:rsidRPr="000542CB">
        <w:rPr>
          <w:rFonts w:cstheme="minorHAnsi"/>
          <w:b/>
          <w:color w:val="000000"/>
        </w:rPr>
        <w:t xml:space="preserve">Table </w:t>
      </w:r>
      <w:r w:rsidR="000542CB" w:rsidRPr="000542CB">
        <w:rPr>
          <w:rFonts w:cstheme="minorHAnsi"/>
          <w:b/>
          <w:color w:val="000000"/>
        </w:rPr>
        <w:t>E6</w:t>
      </w:r>
      <w:r w:rsidRPr="000542CB">
        <w:rPr>
          <w:rFonts w:cstheme="minorHAnsi"/>
          <w:b/>
          <w:color w:val="000000"/>
        </w:rPr>
        <w:t>.</w:t>
      </w:r>
      <w:r>
        <w:rPr>
          <w:rFonts w:cstheme="minorHAnsi"/>
          <w:b/>
          <w:color w:val="000000"/>
        </w:rPr>
        <w:t xml:space="preserve"> Stem data from fixed area plots in </w:t>
      </w:r>
      <w:r w:rsidR="00973E46">
        <w:rPr>
          <w:rFonts w:cstheme="minorHAnsi"/>
          <w:b/>
          <w:color w:val="000000"/>
        </w:rPr>
        <w:t xml:space="preserve">HR_RG </w:t>
      </w:r>
      <w:r>
        <w:rPr>
          <w:rFonts w:cstheme="minorHAnsi"/>
          <w:b/>
          <w:color w:val="000000"/>
        </w:rPr>
        <w:t xml:space="preserve">stratum, used to populate FVS. </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78"/>
        <w:gridCol w:w="2078"/>
        <w:gridCol w:w="2079"/>
        <w:gridCol w:w="2079"/>
      </w:tblGrid>
      <w:tr w:rsidR="00770512" w:rsidRPr="008D236C" w14:paraId="32FB084B" w14:textId="3FF268B2" w:rsidTr="00271979">
        <w:trPr>
          <w:trHeight w:val="290"/>
        </w:trPr>
        <w:tc>
          <w:tcPr>
            <w:tcW w:w="2078" w:type="dxa"/>
          </w:tcPr>
          <w:p w14:paraId="7900BE30" w14:textId="77777777" w:rsidR="00770512" w:rsidRPr="008D236C" w:rsidRDefault="00770512" w:rsidP="00271979">
            <w:pPr>
              <w:autoSpaceDE w:val="0"/>
              <w:autoSpaceDN w:val="0"/>
              <w:adjustRightInd w:val="0"/>
              <w:rPr>
                <w:b/>
                <w:bCs/>
                <w:color w:val="000000"/>
              </w:rPr>
            </w:pPr>
            <w:r>
              <w:rPr>
                <w:b/>
                <w:bCs/>
                <w:color w:val="000000"/>
              </w:rPr>
              <w:t>Species</w:t>
            </w:r>
          </w:p>
        </w:tc>
        <w:tc>
          <w:tcPr>
            <w:tcW w:w="2078" w:type="dxa"/>
          </w:tcPr>
          <w:p w14:paraId="2C8D25E2" w14:textId="77777777" w:rsidR="00770512" w:rsidRPr="008D236C" w:rsidRDefault="00770512" w:rsidP="00271979">
            <w:pPr>
              <w:autoSpaceDE w:val="0"/>
              <w:autoSpaceDN w:val="0"/>
              <w:adjustRightInd w:val="0"/>
              <w:rPr>
                <w:b/>
                <w:bCs/>
                <w:color w:val="000000"/>
              </w:rPr>
            </w:pPr>
            <w:r>
              <w:rPr>
                <w:b/>
                <w:bCs/>
                <w:color w:val="000000"/>
              </w:rPr>
              <w:t xml:space="preserve">Average </w:t>
            </w:r>
            <w:r w:rsidRPr="008D236C">
              <w:rPr>
                <w:b/>
                <w:bCs/>
                <w:color w:val="000000"/>
              </w:rPr>
              <w:t>Height (ft)</w:t>
            </w:r>
          </w:p>
        </w:tc>
        <w:tc>
          <w:tcPr>
            <w:tcW w:w="2079" w:type="dxa"/>
          </w:tcPr>
          <w:p w14:paraId="3DF31F0D" w14:textId="77777777" w:rsidR="00770512" w:rsidRPr="008D236C" w:rsidRDefault="00770512" w:rsidP="00271979">
            <w:pPr>
              <w:autoSpaceDE w:val="0"/>
              <w:autoSpaceDN w:val="0"/>
              <w:adjustRightInd w:val="0"/>
              <w:rPr>
                <w:b/>
                <w:bCs/>
                <w:color w:val="000000"/>
              </w:rPr>
            </w:pPr>
            <w:r w:rsidRPr="008D236C">
              <w:rPr>
                <w:b/>
                <w:bCs/>
                <w:color w:val="000000"/>
              </w:rPr>
              <w:t>Average TPA</w:t>
            </w:r>
          </w:p>
        </w:tc>
        <w:tc>
          <w:tcPr>
            <w:tcW w:w="2079" w:type="dxa"/>
          </w:tcPr>
          <w:p w14:paraId="51A75971" w14:textId="15D1C6A5" w:rsidR="00770512" w:rsidRPr="008D236C" w:rsidRDefault="00770512" w:rsidP="00271979">
            <w:pPr>
              <w:autoSpaceDE w:val="0"/>
              <w:autoSpaceDN w:val="0"/>
              <w:adjustRightInd w:val="0"/>
              <w:rPr>
                <w:b/>
                <w:bCs/>
                <w:color w:val="000000"/>
              </w:rPr>
            </w:pPr>
            <w:r>
              <w:rPr>
                <w:b/>
                <w:bCs/>
                <w:color w:val="000000"/>
              </w:rPr>
              <w:t>Age</w:t>
            </w:r>
          </w:p>
        </w:tc>
      </w:tr>
      <w:tr w:rsidR="00770512" w:rsidRPr="008D236C" w14:paraId="799D5877" w14:textId="1C1F29A8" w:rsidTr="00271979">
        <w:trPr>
          <w:trHeight w:val="290"/>
        </w:trPr>
        <w:tc>
          <w:tcPr>
            <w:tcW w:w="2078" w:type="dxa"/>
          </w:tcPr>
          <w:p w14:paraId="637A0587" w14:textId="2EE3C29C" w:rsidR="00770512" w:rsidRPr="008D236C" w:rsidRDefault="00770512" w:rsidP="00271979">
            <w:pPr>
              <w:autoSpaceDE w:val="0"/>
              <w:autoSpaceDN w:val="0"/>
              <w:adjustRightInd w:val="0"/>
              <w:rPr>
                <w:color w:val="000000"/>
              </w:rPr>
            </w:pPr>
            <w:r>
              <w:rPr>
                <w:color w:val="000000"/>
              </w:rPr>
              <w:t>Shortleaf pine</w:t>
            </w:r>
          </w:p>
        </w:tc>
        <w:tc>
          <w:tcPr>
            <w:tcW w:w="2078" w:type="dxa"/>
          </w:tcPr>
          <w:p w14:paraId="5B32F58A" w14:textId="4B4097FC" w:rsidR="00770512" w:rsidRPr="008D236C" w:rsidRDefault="00770512" w:rsidP="00271979">
            <w:pPr>
              <w:autoSpaceDE w:val="0"/>
              <w:autoSpaceDN w:val="0"/>
              <w:adjustRightInd w:val="0"/>
              <w:jc w:val="right"/>
              <w:rPr>
                <w:color w:val="000000"/>
              </w:rPr>
            </w:pPr>
            <w:r>
              <w:rPr>
                <w:color w:val="000000"/>
              </w:rPr>
              <w:t>12</w:t>
            </w:r>
          </w:p>
        </w:tc>
        <w:tc>
          <w:tcPr>
            <w:tcW w:w="2079" w:type="dxa"/>
          </w:tcPr>
          <w:p w14:paraId="4D02A5BE" w14:textId="4B749749" w:rsidR="00770512" w:rsidRPr="008D236C" w:rsidRDefault="00770512" w:rsidP="00271979">
            <w:pPr>
              <w:autoSpaceDE w:val="0"/>
              <w:autoSpaceDN w:val="0"/>
              <w:adjustRightInd w:val="0"/>
              <w:jc w:val="right"/>
              <w:rPr>
                <w:color w:val="000000"/>
              </w:rPr>
            </w:pPr>
            <w:r>
              <w:rPr>
                <w:color w:val="000000"/>
              </w:rPr>
              <w:t>10</w:t>
            </w:r>
          </w:p>
        </w:tc>
        <w:tc>
          <w:tcPr>
            <w:tcW w:w="2079" w:type="dxa"/>
          </w:tcPr>
          <w:p w14:paraId="728DD131" w14:textId="1438A492" w:rsidR="00770512" w:rsidRPr="008D236C" w:rsidRDefault="00770512" w:rsidP="00271979">
            <w:pPr>
              <w:autoSpaceDE w:val="0"/>
              <w:autoSpaceDN w:val="0"/>
              <w:adjustRightInd w:val="0"/>
              <w:jc w:val="right"/>
              <w:rPr>
                <w:color w:val="000000"/>
              </w:rPr>
            </w:pPr>
            <w:r>
              <w:rPr>
                <w:color w:val="000000"/>
              </w:rPr>
              <w:t>6</w:t>
            </w:r>
          </w:p>
        </w:tc>
      </w:tr>
      <w:tr w:rsidR="00770512" w:rsidRPr="008D236C" w14:paraId="5F34657D" w14:textId="459F49B9" w:rsidTr="00271979">
        <w:trPr>
          <w:trHeight w:val="290"/>
        </w:trPr>
        <w:tc>
          <w:tcPr>
            <w:tcW w:w="2078" w:type="dxa"/>
          </w:tcPr>
          <w:p w14:paraId="2457C365" w14:textId="7C6D41E4" w:rsidR="00770512" w:rsidRPr="008D236C" w:rsidRDefault="00770512" w:rsidP="00271979">
            <w:pPr>
              <w:autoSpaceDE w:val="0"/>
              <w:autoSpaceDN w:val="0"/>
              <w:adjustRightInd w:val="0"/>
              <w:rPr>
                <w:color w:val="000000"/>
              </w:rPr>
            </w:pPr>
            <w:r>
              <w:rPr>
                <w:color w:val="000000"/>
              </w:rPr>
              <w:t>Other hardwood</w:t>
            </w:r>
          </w:p>
        </w:tc>
        <w:tc>
          <w:tcPr>
            <w:tcW w:w="2078" w:type="dxa"/>
          </w:tcPr>
          <w:p w14:paraId="55EFBE66" w14:textId="05CD1794" w:rsidR="00770512" w:rsidRPr="008D236C" w:rsidRDefault="00770512" w:rsidP="00271979">
            <w:pPr>
              <w:autoSpaceDE w:val="0"/>
              <w:autoSpaceDN w:val="0"/>
              <w:adjustRightInd w:val="0"/>
              <w:jc w:val="right"/>
              <w:rPr>
                <w:color w:val="000000"/>
              </w:rPr>
            </w:pPr>
            <w:r>
              <w:rPr>
                <w:color w:val="000000"/>
              </w:rPr>
              <w:t>11</w:t>
            </w:r>
          </w:p>
        </w:tc>
        <w:tc>
          <w:tcPr>
            <w:tcW w:w="2079" w:type="dxa"/>
          </w:tcPr>
          <w:p w14:paraId="69683E8C" w14:textId="12D60E2D" w:rsidR="00770512" w:rsidRPr="008D236C" w:rsidRDefault="00770512" w:rsidP="00271979">
            <w:pPr>
              <w:autoSpaceDE w:val="0"/>
              <w:autoSpaceDN w:val="0"/>
              <w:adjustRightInd w:val="0"/>
              <w:jc w:val="right"/>
              <w:rPr>
                <w:color w:val="000000"/>
              </w:rPr>
            </w:pPr>
            <w:r>
              <w:rPr>
                <w:color w:val="000000"/>
              </w:rPr>
              <w:t>130</w:t>
            </w:r>
          </w:p>
        </w:tc>
        <w:tc>
          <w:tcPr>
            <w:tcW w:w="2079" w:type="dxa"/>
          </w:tcPr>
          <w:p w14:paraId="0ADC210B" w14:textId="76C82CB4" w:rsidR="00770512" w:rsidRPr="008D236C" w:rsidRDefault="00770512" w:rsidP="00271979">
            <w:pPr>
              <w:autoSpaceDE w:val="0"/>
              <w:autoSpaceDN w:val="0"/>
              <w:adjustRightInd w:val="0"/>
              <w:jc w:val="right"/>
              <w:rPr>
                <w:color w:val="000000"/>
              </w:rPr>
            </w:pPr>
            <w:r>
              <w:rPr>
                <w:color w:val="000000"/>
              </w:rPr>
              <w:t>6</w:t>
            </w:r>
          </w:p>
        </w:tc>
      </w:tr>
      <w:tr w:rsidR="00770512" w:rsidRPr="008D236C" w14:paraId="1CEC64EB" w14:textId="39EC4683" w:rsidTr="00271979">
        <w:trPr>
          <w:trHeight w:val="290"/>
        </w:trPr>
        <w:tc>
          <w:tcPr>
            <w:tcW w:w="2078" w:type="dxa"/>
          </w:tcPr>
          <w:p w14:paraId="78264413" w14:textId="3276837D" w:rsidR="00770512" w:rsidRPr="008D236C" w:rsidRDefault="00770512" w:rsidP="00271979">
            <w:pPr>
              <w:autoSpaceDE w:val="0"/>
              <w:autoSpaceDN w:val="0"/>
              <w:adjustRightInd w:val="0"/>
              <w:rPr>
                <w:color w:val="000000"/>
              </w:rPr>
            </w:pPr>
            <w:r>
              <w:rPr>
                <w:color w:val="000000"/>
              </w:rPr>
              <w:t>Red maple</w:t>
            </w:r>
          </w:p>
        </w:tc>
        <w:tc>
          <w:tcPr>
            <w:tcW w:w="2078" w:type="dxa"/>
          </w:tcPr>
          <w:p w14:paraId="6F0E7AAB" w14:textId="7E47D972" w:rsidR="00770512" w:rsidRPr="008D236C" w:rsidRDefault="00770512" w:rsidP="00271979">
            <w:pPr>
              <w:autoSpaceDE w:val="0"/>
              <w:autoSpaceDN w:val="0"/>
              <w:adjustRightInd w:val="0"/>
              <w:jc w:val="right"/>
              <w:rPr>
                <w:color w:val="000000"/>
              </w:rPr>
            </w:pPr>
            <w:r>
              <w:rPr>
                <w:color w:val="000000"/>
              </w:rPr>
              <w:t>11*</w:t>
            </w:r>
          </w:p>
        </w:tc>
        <w:tc>
          <w:tcPr>
            <w:tcW w:w="2079" w:type="dxa"/>
          </w:tcPr>
          <w:p w14:paraId="1984F65F" w14:textId="3BC1D5D9" w:rsidR="00770512" w:rsidRPr="008D236C" w:rsidRDefault="00770512" w:rsidP="00271979">
            <w:pPr>
              <w:autoSpaceDE w:val="0"/>
              <w:autoSpaceDN w:val="0"/>
              <w:adjustRightInd w:val="0"/>
              <w:jc w:val="right"/>
              <w:rPr>
                <w:color w:val="000000"/>
              </w:rPr>
            </w:pPr>
            <w:r>
              <w:rPr>
                <w:color w:val="000000"/>
              </w:rPr>
              <w:t>10</w:t>
            </w:r>
          </w:p>
        </w:tc>
        <w:tc>
          <w:tcPr>
            <w:tcW w:w="2079" w:type="dxa"/>
          </w:tcPr>
          <w:p w14:paraId="3859ED2D" w14:textId="242A7C7A" w:rsidR="00770512" w:rsidRPr="008D236C" w:rsidRDefault="00770512" w:rsidP="00271979">
            <w:pPr>
              <w:autoSpaceDE w:val="0"/>
              <w:autoSpaceDN w:val="0"/>
              <w:adjustRightInd w:val="0"/>
              <w:jc w:val="right"/>
              <w:rPr>
                <w:color w:val="000000"/>
              </w:rPr>
            </w:pPr>
            <w:r>
              <w:rPr>
                <w:color w:val="000000"/>
              </w:rPr>
              <w:t>6</w:t>
            </w:r>
          </w:p>
        </w:tc>
      </w:tr>
      <w:tr w:rsidR="00770512" w:rsidRPr="008D236C" w14:paraId="33023450" w14:textId="6CECAC2A" w:rsidTr="00271979">
        <w:trPr>
          <w:trHeight w:val="290"/>
        </w:trPr>
        <w:tc>
          <w:tcPr>
            <w:tcW w:w="2078" w:type="dxa"/>
          </w:tcPr>
          <w:p w14:paraId="33E84D02" w14:textId="42635E85" w:rsidR="00770512" w:rsidRPr="008D236C" w:rsidRDefault="00770512" w:rsidP="00271979">
            <w:pPr>
              <w:autoSpaceDE w:val="0"/>
              <w:autoSpaceDN w:val="0"/>
              <w:adjustRightInd w:val="0"/>
              <w:rPr>
                <w:color w:val="000000"/>
              </w:rPr>
            </w:pPr>
            <w:r>
              <w:rPr>
                <w:color w:val="000000"/>
              </w:rPr>
              <w:t>Southern red oak</w:t>
            </w:r>
          </w:p>
        </w:tc>
        <w:tc>
          <w:tcPr>
            <w:tcW w:w="2078" w:type="dxa"/>
          </w:tcPr>
          <w:p w14:paraId="71DF240F" w14:textId="07741CAE" w:rsidR="00770512" w:rsidRPr="008D236C" w:rsidRDefault="00770512" w:rsidP="00271979">
            <w:pPr>
              <w:autoSpaceDE w:val="0"/>
              <w:autoSpaceDN w:val="0"/>
              <w:adjustRightInd w:val="0"/>
              <w:jc w:val="right"/>
              <w:rPr>
                <w:color w:val="000000"/>
              </w:rPr>
            </w:pPr>
            <w:r>
              <w:rPr>
                <w:color w:val="000000"/>
              </w:rPr>
              <w:t>13</w:t>
            </w:r>
          </w:p>
        </w:tc>
        <w:tc>
          <w:tcPr>
            <w:tcW w:w="2079" w:type="dxa"/>
          </w:tcPr>
          <w:p w14:paraId="18774797" w14:textId="4956BDD5" w:rsidR="00770512" w:rsidRPr="008D236C" w:rsidRDefault="00770512" w:rsidP="00271979">
            <w:pPr>
              <w:autoSpaceDE w:val="0"/>
              <w:autoSpaceDN w:val="0"/>
              <w:adjustRightInd w:val="0"/>
              <w:jc w:val="right"/>
              <w:rPr>
                <w:color w:val="000000"/>
              </w:rPr>
            </w:pPr>
            <w:r>
              <w:rPr>
                <w:color w:val="000000"/>
              </w:rPr>
              <w:t>40</w:t>
            </w:r>
          </w:p>
        </w:tc>
        <w:tc>
          <w:tcPr>
            <w:tcW w:w="2079" w:type="dxa"/>
          </w:tcPr>
          <w:p w14:paraId="4E95B8C6" w14:textId="00A036E5" w:rsidR="00770512" w:rsidRPr="008D236C" w:rsidRDefault="00770512" w:rsidP="00271979">
            <w:pPr>
              <w:autoSpaceDE w:val="0"/>
              <w:autoSpaceDN w:val="0"/>
              <w:adjustRightInd w:val="0"/>
              <w:jc w:val="right"/>
              <w:rPr>
                <w:color w:val="000000"/>
              </w:rPr>
            </w:pPr>
            <w:r>
              <w:rPr>
                <w:color w:val="000000"/>
              </w:rPr>
              <w:t>6</w:t>
            </w:r>
          </w:p>
        </w:tc>
      </w:tr>
    </w:tbl>
    <w:p w14:paraId="0C303DDB" w14:textId="34DD8651" w:rsidR="00F34540" w:rsidRPr="00CB606B" w:rsidRDefault="00F34540" w:rsidP="00F34540">
      <w:r>
        <w:t xml:space="preserve">*no data, assigned </w:t>
      </w:r>
      <w:r w:rsidR="00770512">
        <w:t>average height for 1” stem</w:t>
      </w:r>
    </w:p>
    <w:p w14:paraId="1741473E" w14:textId="34C7B11C" w:rsidR="007344DF" w:rsidRDefault="007344DF" w:rsidP="007344DF">
      <w:r w:rsidRPr="00041EAA">
        <w:t xml:space="preserve">Model projections were made for </w:t>
      </w:r>
      <w:r>
        <w:t xml:space="preserve">the following </w:t>
      </w:r>
      <w:r w:rsidRPr="00041EAA">
        <w:t>management scenarios</w:t>
      </w:r>
      <w:r w:rsidR="00875995">
        <w:t>, run for each stratum</w:t>
      </w:r>
      <w:r>
        <w:t>:</w:t>
      </w:r>
      <w:r w:rsidRPr="00041EAA">
        <w:t xml:space="preserve"> </w:t>
      </w:r>
    </w:p>
    <w:tbl>
      <w:tblPr>
        <w:tblStyle w:val="TableGrid"/>
        <w:tblW w:w="0" w:type="auto"/>
        <w:tblLook w:val="04A0" w:firstRow="1" w:lastRow="0" w:firstColumn="1" w:lastColumn="0" w:noHBand="0" w:noVBand="1"/>
      </w:tblPr>
      <w:tblGrid>
        <w:gridCol w:w="3116"/>
        <w:gridCol w:w="3117"/>
        <w:gridCol w:w="3117"/>
      </w:tblGrid>
      <w:tr w:rsidR="007344DF" w14:paraId="795D3BD1" w14:textId="77777777" w:rsidTr="00A16F26">
        <w:trPr>
          <w:tblHeader/>
        </w:trPr>
        <w:tc>
          <w:tcPr>
            <w:tcW w:w="3116" w:type="dxa"/>
          </w:tcPr>
          <w:p w14:paraId="24C29BA5" w14:textId="56040747" w:rsidR="007344DF" w:rsidRPr="00041EAA" w:rsidRDefault="00875995" w:rsidP="00A16F26">
            <w:pPr>
              <w:rPr>
                <w:b/>
                <w:iCs/>
              </w:rPr>
            </w:pPr>
            <w:r>
              <w:rPr>
                <w:b/>
                <w:iCs/>
              </w:rPr>
              <w:t>Scenario</w:t>
            </w:r>
          </w:p>
        </w:tc>
        <w:tc>
          <w:tcPr>
            <w:tcW w:w="3117" w:type="dxa"/>
          </w:tcPr>
          <w:p w14:paraId="58D9D105" w14:textId="77777777" w:rsidR="007344DF" w:rsidRPr="00041EAA" w:rsidRDefault="007344DF" w:rsidP="00A16F26">
            <w:pPr>
              <w:rPr>
                <w:b/>
                <w:iCs/>
              </w:rPr>
            </w:pPr>
            <w:r>
              <w:rPr>
                <w:b/>
                <w:iCs/>
              </w:rPr>
              <w:t>Harvest/management</w:t>
            </w:r>
            <w:r w:rsidRPr="00041EAA">
              <w:rPr>
                <w:b/>
                <w:iCs/>
              </w:rPr>
              <w:t xml:space="preserve"> scenario</w:t>
            </w:r>
          </w:p>
        </w:tc>
        <w:tc>
          <w:tcPr>
            <w:tcW w:w="3117" w:type="dxa"/>
          </w:tcPr>
          <w:p w14:paraId="3734A2FB" w14:textId="77777777" w:rsidR="007344DF" w:rsidRPr="00041EAA" w:rsidRDefault="007344DF" w:rsidP="00A16F26">
            <w:pPr>
              <w:rPr>
                <w:b/>
                <w:iCs/>
              </w:rPr>
            </w:pPr>
            <w:r>
              <w:rPr>
                <w:b/>
                <w:iCs/>
              </w:rPr>
              <w:t>To determine:</w:t>
            </w:r>
          </w:p>
        </w:tc>
      </w:tr>
      <w:tr w:rsidR="007344DF" w:rsidRPr="00E264CD" w14:paraId="0F553310" w14:textId="77777777" w:rsidTr="00A16F26">
        <w:tc>
          <w:tcPr>
            <w:tcW w:w="3116" w:type="dxa"/>
          </w:tcPr>
          <w:p w14:paraId="08CCA974" w14:textId="67A0E4DA" w:rsidR="007344DF" w:rsidRDefault="00875995" w:rsidP="00A16F26">
            <w:pPr>
              <w:rPr>
                <w:iCs/>
              </w:rPr>
            </w:pPr>
            <w:r>
              <w:rPr>
                <w:iCs/>
              </w:rPr>
              <w:t>“grow”</w:t>
            </w:r>
            <w:r w:rsidR="006867A5">
              <w:rPr>
                <w:iCs/>
              </w:rPr>
              <w:t xml:space="preserve"> and “SMZ”</w:t>
            </w:r>
            <w:r w:rsidR="00130DE6">
              <w:rPr>
                <w:iCs/>
              </w:rPr>
              <w:t xml:space="preserve"> (= FVS runs coded “r001”)</w:t>
            </w:r>
          </w:p>
        </w:tc>
        <w:tc>
          <w:tcPr>
            <w:tcW w:w="3117" w:type="dxa"/>
          </w:tcPr>
          <w:p w14:paraId="2E8D899A" w14:textId="77777777" w:rsidR="007344DF" w:rsidRDefault="007344DF" w:rsidP="00A16F26">
            <w:pPr>
              <w:rPr>
                <w:iCs/>
              </w:rPr>
            </w:pPr>
            <w:r>
              <w:t>Allow</w:t>
            </w:r>
            <w:r w:rsidRPr="00041EAA">
              <w:t xml:space="preserve"> existing stocks to grow</w:t>
            </w:r>
            <w:r>
              <w:t xml:space="preserve"> 100 years</w:t>
            </w:r>
            <w:r w:rsidRPr="00041EAA">
              <w:t xml:space="preserve"> </w:t>
            </w:r>
          </w:p>
        </w:tc>
        <w:tc>
          <w:tcPr>
            <w:tcW w:w="3117" w:type="dxa"/>
          </w:tcPr>
          <w:p w14:paraId="287A4173" w14:textId="77777777" w:rsidR="007344DF" w:rsidRDefault="007344DF" w:rsidP="00A16F26">
            <w:r w:rsidRPr="000F45AC">
              <w:t>Year in which stratum would be first clearcut</w:t>
            </w:r>
            <w:r w:rsidR="00421C02">
              <w:t>.</w:t>
            </w:r>
          </w:p>
          <w:p w14:paraId="179DFA03" w14:textId="77777777" w:rsidR="006867A5" w:rsidRDefault="006867A5" w:rsidP="00A16F26"/>
          <w:p w14:paraId="06E4B735" w14:textId="1D9E3386" w:rsidR="006867A5" w:rsidRDefault="006867A5" w:rsidP="00A16F26">
            <w:pPr>
              <w:rPr>
                <w:iCs/>
              </w:rPr>
            </w:pPr>
            <w:r w:rsidRPr="000F45AC">
              <w:t xml:space="preserve">Year in which stratum would be first </w:t>
            </w:r>
            <w:r>
              <w:t>thinned to 50% residual “overstory canopy”, compliant with Tennessee BMPs</w:t>
            </w:r>
            <w:r w:rsidR="000D06FE">
              <w:t xml:space="preserve"> (assuming thin throughout a diameter range with proportion of basal area cut set at 50%)</w:t>
            </w:r>
            <w:r>
              <w:t>.</w:t>
            </w:r>
          </w:p>
        </w:tc>
      </w:tr>
      <w:tr w:rsidR="007344DF" w14:paraId="6F908090" w14:textId="77777777" w:rsidTr="00A16F26">
        <w:tc>
          <w:tcPr>
            <w:tcW w:w="3116" w:type="dxa"/>
          </w:tcPr>
          <w:p w14:paraId="5294B93D" w14:textId="2EDF694C" w:rsidR="007344DF" w:rsidRDefault="00875995" w:rsidP="00A16F26">
            <w:pPr>
              <w:rPr>
                <w:iCs/>
              </w:rPr>
            </w:pPr>
            <w:r>
              <w:rPr>
                <w:iCs/>
              </w:rPr>
              <w:t>“rot”</w:t>
            </w:r>
            <w:r w:rsidR="00130DE6">
              <w:rPr>
                <w:iCs/>
              </w:rPr>
              <w:t xml:space="preserve"> (= FVS runs coded “r002”)</w:t>
            </w:r>
          </w:p>
        </w:tc>
        <w:tc>
          <w:tcPr>
            <w:tcW w:w="3117" w:type="dxa"/>
          </w:tcPr>
          <w:p w14:paraId="2E933D7E" w14:textId="2A9CDDF9" w:rsidR="007344DF" w:rsidRDefault="007344DF" w:rsidP="00A16F26">
            <w:pPr>
              <w:rPr>
                <w:iCs/>
              </w:rPr>
            </w:pPr>
            <w:r>
              <w:t>C</w:t>
            </w:r>
            <w:r w:rsidRPr="00041EAA">
              <w:t>learcut</w:t>
            </w:r>
            <w:r>
              <w:t xml:space="preserve">, </w:t>
            </w:r>
            <w:r w:rsidR="00875995">
              <w:t>regeneration via sprouting</w:t>
            </w:r>
            <w:r>
              <w:t>, grow 100 years</w:t>
            </w:r>
          </w:p>
        </w:tc>
        <w:tc>
          <w:tcPr>
            <w:tcW w:w="3117" w:type="dxa"/>
          </w:tcPr>
          <w:p w14:paraId="61AAC691" w14:textId="77777777" w:rsidR="007344DF" w:rsidRDefault="007344DF" w:rsidP="00A16F26">
            <w:pPr>
              <w:rPr>
                <w:iCs/>
              </w:rPr>
            </w:pPr>
            <w:r>
              <w:t>O</w:t>
            </w:r>
            <w:r w:rsidRPr="00041EAA">
              <w:t>ptimal rotation age</w:t>
            </w:r>
          </w:p>
        </w:tc>
      </w:tr>
    </w:tbl>
    <w:p w14:paraId="13401AED" w14:textId="77777777" w:rsidR="007344DF" w:rsidRDefault="007344DF" w:rsidP="007344DF">
      <w:pPr>
        <w:rPr>
          <w:iCs/>
        </w:rPr>
      </w:pPr>
    </w:p>
    <w:p w14:paraId="1D55A60E" w14:textId="2BCEC6C5" w:rsidR="007344DF" w:rsidRDefault="007344DF" w:rsidP="007344DF">
      <w:pPr>
        <w:rPr>
          <w:iCs/>
        </w:rPr>
      </w:pPr>
      <w:r>
        <w:rPr>
          <w:iCs/>
        </w:rPr>
        <w:t xml:space="preserve">Volume yields were output for 100-year projections from </w:t>
      </w:r>
      <w:r w:rsidR="00920365">
        <w:rPr>
          <w:iCs/>
        </w:rPr>
        <w:t>FVS-SN</w:t>
      </w:r>
      <w:r>
        <w:rPr>
          <w:iCs/>
        </w:rPr>
        <w:t>, with annua</w:t>
      </w:r>
      <w:r w:rsidR="009210B5">
        <w:rPr>
          <w:iCs/>
        </w:rPr>
        <w:t>l yields interpolated between 5</w:t>
      </w:r>
      <w:r>
        <w:rPr>
          <w:iCs/>
        </w:rPr>
        <w:t xml:space="preserve">-year cycle outputs. </w:t>
      </w:r>
    </w:p>
    <w:p w14:paraId="14E27147" w14:textId="2C072C0E" w:rsidR="007344DF" w:rsidRPr="00CD6862" w:rsidRDefault="007344DF" w:rsidP="007344DF">
      <w:pPr>
        <w:rPr>
          <w:i/>
          <w:iCs/>
        </w:rPr>
      </w:pPr>
      <w:r w:rsidRPr="00CD6862">
        <w:rPr>
          <w:i/>
          <w:iCs/>
        </w:rPr>
        <w:t>Revenues</w:t>
      </w:r>
    </w:p>
    <w:tbl>
      <w:tblPr>
        <w:tblW w:w="9939" w:type="dxa"/>
        <w:tblInd w:w="-108" w:type="dxa"/>
        <w:tblBorders>
          <w:top w:val="nil"/>
          <w:left w:val="nil"/>
          <w:bottom w:val="nil"/>
          <w:right w:val="nil"/>
        </w:tblBorders>
        <w:tblCellMar>
          <w:left w:w="70" w:type="dxa"/>
          <w:right w:w="70" w:type="dxa"/>
        </w:tblCellMar>
        <w:tblLook w:val="0000" w:firstRow="0" w:lastRow="0" w:firstColumn="0" w:lastColumn="0" w:noHBand="0" w:noVBand="0"/>
      </w:tblPr>
      <w:tblGrid>
        <w:gridCol w:w="9976"/>
      </w:tblGrid>
      <w:tr w:rsidR="007344DF" w:rsidRPr="00E264CD" w14:paraId="6FD7A29A" w14:textId="77777777" w:rsidTr="00A16F26">
        <w:trPr>
          <w:trHeight w:val="103"/>
        </w:trPr>
        <w:tc>
          <w:tcPr>
            <w:tcW w:w="9939" w:type="dxa"/>
          </w:tcPr>
          <w:p w14:paraId="4B2C62D1" w14:textId="242360E1" w:rsidR="007344DF" w:rsidRDefault="007344DF" w:rsidP="00A16F26">
            <w:r>
              <w:t>W</w:t>
            </w:r>
            <w:r w:rsidRPr="00270888">
              <w:t xml:space="preserve">e </w:t>
            </w:r>
            <w:r>
              <w:t xml:space="preserve">then </w:t>
            </w:r>
            <w:r w:rsidRPr="00270888">
              <w:t xml:space="preserve">projected the revenues from sawlogs and pulp using the average stumpage price for </w:t>
            </w:r>
            <w:r w:rsidR="00F52270">
              <w:t xml:space="preserve">pine and hardwood </w:t>
            </w:r>
            <w:r w:rsidRPr="00270888">
              <w:t>(</w:t>
            </w:r>
            <w:r w:rsidR="00A22593">
              <w:t>whichever represented</w:t>
            </w:r>
            <w:r w:rsidRPr="00270888">
              <w:t xml:space="preserve"> the majority of </w:t>
            </w:r>
            <w:r w:rsidR="00A22593">
              <w:t xml:space="preserve">projected </w:t>
            </w:r>
            <w:r w:rsidRPr="00270888">
              <w:t>harvested volumes for that stratum)</w:t>
            </w:r>
            <w:r>
              <w:t xml:space="preserve">. Stumpage prices were sourced </w:t>
            </w:r>
            <w:r w:rsidR="00F52270">
              <w:t>from TimberMart South Tennessee Stumpag</w:t>
            </w:r>
            <w:r w:rsidR="00972D0C">
              <w:t>e Prices Quarterly report for Q4 2019</w:t>
            </w:r>
            <w:r w:rsidR="00C24C8D">
              <w:t xml:space="preserve"> (see accompanying document “</w:t>
            </w:r>
            <w:r w:rsidR="00972D0C" w:rsidRPr="00972D0C">
              <w:t>TENNESSEE 4Q2019</w:t>
            </w:r>
            <w:r w:rsidR="00C24C8D">
              <w:t>”)</w:t>
            </w:r>
            <w:r w:rsidR="008F31DC">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0"/>
              <w:gridCol w:w="2671"/>
              <w:gridCol w:w="2368"/>
              <w:gridCol w:w="1841"/>
              <w:gridCol w:w="1466"/>
            </w:tblGrid>
            <w:tr w:rsidR="00611786" w:rsidRPr="00611786" w14:paraId="7B150D68" w14:textId="77777777" w:rsidTr="00611786">
              <w:trPr>
                <w:trHeight w:val="619"/>
              </w:trPr>
              <w:tc>
                <w:tcPr>
                  <w:tcW w:w="753" w:type="pct"/>
                </w:tcPr>
                <w:p w14:paraId="681D271C" w14:textId="02609813" w:rsidR="00611786" w:rsidRPr="00611786" w:rsidRDefault="00611786" w:rsidP="00611786">
                  <w:pPr>
                    <w:autoSpaceDE w:val="0"/>
                    <w:autoSpaceDN w:val="0"/>
                    <w:adjustRightInd w:val="0"/>
                    <w:spacing w:after="0" w:line="240" w:lineRule="auto"/>
                    <w:rPr>
                      <w:rFonts w:cstheme="minorHAnsi"/>
                      <w:b/>
                      <w:bCs/>
                      <w:color w:val="000000"/>
                    </w:rPr>
                  </w:pPr>
                  <w:r>
                    <w:rPr>
                      <w:rFonts w:cstheme="minorHAnsi"/>
                      <w:b/>
                      <w:bCs/>
                      <w:color w:val="000000"/>
                    </w:rPr>
                    <w:t>S</w:t>
                  </w:r>
                  <w:r w:rsidRPr="00611786">
                    <w:rPr>
                      <w:rFonts w:cstheme="minorHAnsi"/>
                      <w:b/>
                      <w:bCs/>
                      <w:color w:val="000000"/>
                    </w:rPr>
                    <w:t>tratum</w:t>
                  </w:r>
                </w:p>
              </w:tc>
              <w:tc>
                <w:tcPr>
                  <w:tcW w:w="1359" w:type="pct"/>
                </w:tcPr>
                <w:p w14:paraId="4172592E" w14:textId="234F0453" w:rsidR="00611786" w:rsidRPr="00611786" w:rsidRDefault="00611786" w:rsidP="00611786">
                  <w:pPr>
                    <w:autoSpaceDE w:val="0"/>
                    <w:autoSpaceDN w:val="0"/>
                    <w:adjustRightInd w:val="0"/>
                    <w:spacing w:after="0" w:line="240" w:lineRule="auto"/>
                    <w:rPr>
                      <w:rFonts w:cstheme="minorHAnsi"/>
                      <w:b/>
                      <w:bCs/>
                      <w:color w:val="000000"/>
                    </w:rPr>
                  </w:pPr>
                  <w:r>
                    <w:rPr>
                      <w:rFonts w:cstheme="minorHAnsi"/>
                      <w:b/>
                      <w:bCs/>
                      <w:color w:val="000000"/>
                    </w:rPr>
                    <w:t>Species in order of relative basal area</w:t>
                  </w:r>
                </w:p>
              </w:tc>
              <w:tc>
                <w:tcPr>
                  <w:tcW w:w="1205" w:type="pct"/>
                </w:tcPr>
                <w:p w14:paraId="5AD404CA" w14:textId="78A361B9" w:rsidR="00611786" w:rsidRPr="00611786" w:rsidRDefault="00611786" w:rsidP="00611786">
                  <w:pPr>
                    <w:autoSpaceDE w:val="0"/>
                    <w:autoSpaceDN w:val="0"/>
                    <w:adjustRightInd w:val="0"/>
                    <w:spacing w:after="0" w:line="240" w:lineRule="auto"/>
                    <w:rPr>
                      <w:rFonts w:cstheme="minorHAnsi"/>
                      <w:b/>
                      <w:bCs/>
                      <w:color w:val="000000"/>
                    </w:rPr>
                  </w:pPr>
                  <w:r>
                    <w:rPr>
                      <w:rFonts w:cstheme="minorHAnsi"/>
                      <w:b/>
                      <w:bCs/>
                      <w:color w:val="000000"/>
                    </w:rPr>
                    <w:t>P</w:t>
                  </w:r>
                  <w:r w:rsidRPr="00611786">
                    <w:rPr>
                      <w:rFonts w:cstheme="minorHAnsi"/>
                      <w:b/>
                      <w:bCs/>
                      <w:color w:val="000000"/>
                    </w:rPr>
                    <w:t>redom</w:t>
                  </w:r>
                  <w:r>
                    <w:rPr>
                      <w:rFonts w:cstheme="minorHAnsi"/>
                      <w:b/>
                      <w:bCs/>
                      <w:color w:val="000000"/>
                    </w:rPr>
                    <w:t>inant timber</w:t>
                  </w:r>
                </w:p>
              </w:tc>
              <w:tc>
                <w:tcPr>
                  <w:tcW w:w="937" w:type="pct"/>
                </w:tcPr>
                <w:p w14:paraId="12C89360" w14:textId="77777777" w:rsidR="00611786" w:rsidRPr="00611786" w:rsidRDefault="00611786" w:rsidP="00611786">
                  <w:pPr>
                    <w:autoSpaceDE w:val="0"/>
                    <w:autoSpaceDN w:val="0"/>
                    <w:adjustRightInd w:val="0"/>
                    <w:spacing w:after="0" w:line="240" w:lineRule="auto"/>
                    <w:rPr>
                      <w:rFonts w:cstheme="minorHAnsi"/>
                      <w:b/>
                      <w:bCs/>
                      <w:color w:val="000000"/>
                    </w:rPr>
                  </w:pPr>
                  <w:r w:rsidRPr="00611786">
                    <w:rPr>
                      <w:rFonts w:cstheme="minorHAnsi"/>
                      <w:b/>
                      <w:bCs/>
                      <w:color w:val="000000"/>
                    </w:rPr>
                    <w:t xml:space="preserve"> pulp $/ft^3 </w:t>
                  </w:r>
                </w:p>
              </w:tc>
              <w:tc>
                <w:tcPr>
                  <w:tcW w:w="746" w:type="pct"/>
                </w:tcPr>
                <w:p w14:paraId="33CA831F" w14:textId="77777777" w:rsidR="00611786" w:rsidRPr="00611786" w:rsidRDefault="00611786" w:rsidP="00611786">
                  <w:pPr>
                    <w:autoSpaceDE w:val="0"/>
                    <w:autoSpaceDN w:val="0"/>
                    <w:adjustRightInd w:val="0"/>
                    <w:spacing w:after="0" w:line="240" w:lineRule="auto"/>
                    <w:rPr>
                      <w:rFonts w:cstheme="minorHAnsi"/>
                      <w:b/>
                      <w:bCs/>
                      <w:color w:val="000000"/>
                    </w:rPr>
                  </w:pPr>
                  <w:r w:rsidRPr="00611786">
                    <w:rPr>
                      <w:rFonts w:cstheme="minorHAnsi"/>
                      <w:b/>
                      <w:bCs/>
                      <w:color w:val="000000"/>
                    </w:rPr>
                    <w:t>saw $/ft^3</w:t>
                  </w:r>
                </w:p>
              </w:tc>
            </w:tr>
            <w:tr w:rsidR="00611786" w:rsidRPr="00611786" w14:paraId="51803DCF" w14:textId="77777777" w:rsidTr="00611786">
              <w:trPr>
                <w:trHeight w:val="634"/>
              </w:trPr>
              <w:tc>
                <w:tcPr>
                  <w:tcW w:w="753" w:type="pct"/>
                </w:tcPr>
                <w:p w14:paraId="71B0441E"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CN</w:t>
                  </w:r>
                </w:p>
              </w:tc>
              <w:tc>
                <w:tcPr>
                  <w:tcW w:w="1359" w:type="pct"/>
                </w:tcPr>
                <w:p w14:paraId="12321E20"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Chestnut oak, tulip poplar, red maple </w:t>
                  </w:r>
                </w:p>
              </w:tc>
              <w:tc>
                <w:tcPr>
                  <w:tcW w:w="1205" w:type="pct"/>
                </w:tcPr>
                <w:p w14:paraId="27BA6268"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hardwood</w:t>
                  </w:r>
                </w:p>
              </w:tc>
              <w:tc>
                <w:tcPr>
                  <w:tcW w:w="937" w:type="pct"/>
                </w:tcPr>
                <w:p w14:paraId="345DECC6" w14:textId="77777777" w:rsidR="00611786" w:rsidRPr="00611786" w:rsidRDefault="00611786" w:rsidP="00611786">
                  <w:pPr>
                    <w:autoSpaceDE w:val="0"/>
                    <w:autoSpaceDN w:val="0"/>
                    <w:adjustRightInd w:val="0"/>
                    <w:spacing w:after="0" w:line="240" w:lineRule="auto"/>
                    <w:jc w:val="right"/>
                    <w:rPr>
                      <w:rFonts w:cstheme="minorHAnsi"/>
                      <w:color w:val="000000"/>
                    </w:rPr>
                  </w:pPr>
                  <w:r w:rsidRPr="00611786">
                    <w:rPr>
                      <w:rFonts w:cstheme="minorHAnsi"/>
                      <w:color w:val="000000"/>
                    </w:rPr>
                    <w:t xml:space="preserve"> $            0.25 </w:t>
                  </w:r>
                </w:p>
              </w:tc>
              <w:tc>
                <w:tcPr>
                  <w:tcW w:w="746" w:type="pct"/>
                </w:tcPr>
                <w:p w14:paraId="12513C3A" w14:textId="77777777" w:rsidR="00611786" w:rsidRPr="00611786" w:rsidRDefault="00611786" w:rsidP="00611786">
                  <w:pPr>
                    <w:autoSpaceDE w:val="0"/>
                    <w:autoSpaceDN w:val="0"/>
                    <w:adjustRightInd w:val="0"/>
                    <w:spacing w:after="0" w:line="240" w:lineRule="auto"/>
                    <w:jc w:val="right"/>
                    <w:rPr>
                      <w:rFonts w:cstheme="minorHAnsi"/>
                      <w:color w:val="000000"/>
                    </w:rPr>
                  </w:pPr>
                  <w:r w:rsidRPr="00611786">
                    <w:rPr>
                      <w:rFonts w:cstheme="minorHAnsi"/>
                      <w:color w:val="000000"/>
                    </w:rPr>
                    <w:t xml:space="preserve"> $       0.84 </w:t>
                  </w:r>
                </w:p>
              </w:tc>
            </w:tr>
            <w:tr w:rsidR="00611786" w:rsidRPr="00611786" w14:paraId="2ADE6142" w14:textId="77777777" w:rsidTr="00611786">
              <w:trPr>
                <w:trHeight w:val="634"/>
              </w:trPr>
              <w:tc>
                <w:tcPr>
                  <w:tcW w:w="753" w:type="pct"/>
                </w:tcPr>
                <w:p w14:paraId="3FD005A4"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CS</w:t>
                  </w:r>
                </w:p>
              </w:tc>
              <w:tc>
                <w:tcPr>
                  <w:tcW w:w="1359" w:type="pct"/>
                </w:tcPr>
                <w:p w14:paraId="2A753D72"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Chestnut oak, red maple, tulip poplar</w:t>
                  </w:r>
                </w:p>
              </w:tc>
              <w:tc>
                <w:tcPr>
                  <w:tcW w:w="1205" w:type="pct"/>
                </w:tcPr>
                <w:p w14:paraId="6EC30239"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hardwood</w:t>
                  </w:r>
                </w:p>
              </w:tc>
              <w:tc>
                <w:tcPr>
                  <w:tcW w:w="937" w:type="pct"/>
                </w:tcPr>
                <w:p w14:paraId="4A392D4E" w14:textId="77777777" w:rsidR="00611786" w:rsidRPr="00611786" w:rsidRDefault="00611786" w:rsidP="00611786">
                  <w:pPr>
                    <w:autoSpaceDE w:val="0"/>
                    <w:autoSpaceDN w:val="0"/>
                    <w:adjustRightInd w:val="0"/>
                    <w:spacing w:after="0" w:line="240" w:lineRule="auto"/>
                    <w:jc w:val="right"/>
                    <w:rPr>
                      <w:rFonts w:cstheme="minorHAnsi"/>
                      <w:color w:val="000000"/>
                    </w:rPr>
                  </w:pPr>
                  <w:r w:rsidRPr="00611786">
                    <w:rPr>
                      <w:rFonts w:cstheme="minorHAnsi"/>
                      <w:color w:val="000000"/>
                    </w:rPr>
                    <w:t xml:space="preserve"> $            0.25 </w:t>
                  </w:r>
                </w:p>
              </w:tc>
              <w:tc>
                <w:tcPr>
                  <w:tcW w:w="746" w:type="pct"/>
                </w:tcPr>
                <w:p w14:paraId="0E8BF90F" w14:textId="77777777" w:rsidR="00611786" w:rsidRPr="00611786" w:rsidRDefault="00611786" w:rsidP="00611786">
                  <w:pPr>
                    <w:autoSpaceDE w:val="0"/>
                    <w:autoSpaceDN w:val="0"/>
                    <w:adjustRightInd w:val="0"/>
                    <w:spacing w:after="0" w:line="240" w:lineRule="auto"/>
                    <w:jc w:val="right"/>
                    <w:rPr>
                      <w:rFonts w:cstheme="minorHAnsi"/>
                      <w:color w:val="000000"/>
                    </w:rPr>
                  </w:pPr>
                  <w:r w:rsidRPr="00611786">
                    <w:rPr>
                      <w:rFonts w:cstheme="minorHAnsi"/>
                      <w:color w:val="000000"/>
                    </w:rPr>
                    <w:t xml:space="preserve"> $       0.84 </w:t>
                  </w:r>
                </w:p>
              </w:tc>
            </w:tr>
            <w:tr w:rsidR="00611786" w:rsidRPr="00611786" w14:paraId="1FE5F0B8" w14:textId="77777777" w:rsidTr="00611786">
              <w:trPr>
                <w:trHeight w:val="634"/>
              </w:trPr>
              <w:tc>
                <w:tcPr>
                  <w:tcW w:w="753" w:type="pct"/>
                </w:tcPr>
                <w:p w14:paraId="3045EC48"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HR_HW</w:t>
                  </w:r>
                </w:p>
              </w:tc>
              <w:tc>
                <w:tcPr>
                  <w:tcW w:w="1359" w:type="pct"/>
                </w:tcPr>
                <w:p w14:paraId="05864EB1"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 xml:space="preserve">Southern red oak, scarlet oak, </w:t>
                  </w:r>
                </w:p>
              </w:tc>
              <w:tc>
                <w:tcPr>
                  <w:tcW w:w="1205" w:type="pct"/>
                </w:tcPr>
                <w:p w14:paraId="0C858930"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hardwood</w:t>
                  </w:r>
                </w:p>
              </w:tc>
              <w:tc>
                <w:tcPr>
                  <w:tcW w:w="937" w:type="pct"/>
                </w:tcPr>
                <w:p w14:paraId="79ECA258" w14:textId="77777777" w:rsidR="00611786" w:rsidRPr="00611786" w:rsidRDefault="00611786" w:rsidP="00611786">
                  <w:pPr>
                    <w:autoSpaceDE w:val="0"/>
                    <w:autoSpaceDN w:val="0"/>
                    <w:adjustRightInd w:val="0"/>
                    <w:spacing w:after="0" w:line="240" w:lineRule="auto"/>
                    <w:jc w:val="right"/>
                    <w:rPr>
                      <w:rFonts w:cstheme="minorHAnsi"/>
                      <w:color w:val="000000"/>
                    </w:rPr>
                  </w:pPr>
                  <w:r w:rsidRPr="00611786">
                    <w:rPr>
                      <w:rFonts w:cstheme="minorHAnsi"/>
                      <w:color w:val="000000"/>
                    </w:rPr>
                    <w:t xml:space="preserve"> $            0.25 </w:t>
                  </w:r>
                </w:p>
              </w:tc>
              <w:tc>
                <w:tcPr>
                  <w:tcW w:w="746" w:type="pct"/>
                </w:tcPr>
                <w:p w14:paraId="061CF4BF" w14:textId="77777777" w:rsidR="00611786" w:rsidRPr="00611786" w:rsidRDefault="00611786" w:rsidP="00611786">
                  <w:pPr>
                    <w:autoSpaceDE w:val="0"/>
                    <w:autoSpaceDN w:val="0"/>
                    <w:adjustRightInd w:val="0"/>
                    <w:spacing w:after="0" w:line="240" w:lineRule="auto"/>
                    <w:jc w:val="right"/>
                    <w:rPr>
                      <w:rFonts w:cstheme="minorHAnsi"/>
                      <w:color w:val="000000"/>
                    </w:rPr>
                  </w:pPr>
                  <w:r w:rsidRPr="00611786">
                    <w:rPr>
                      <w:rFonts w:cstheme="minorHAnsi"/>
                      <w:color w:val="000000"/>
                    </w:rPr>
                    <w:t xml:space="preserve"> $       0.84 </w:t>
                  </w:r>
                </w:p>
              </w:tc>
            </w:tr>
            <w:tr w:rsidR="00611786" w:rsidRPr="00611786" w14:paraId="1207272A" w14:textId="77777777" w:rsidTr="00611786">
              <w:trPr>
                <w:trHeight w:val="319"/>
              </w:trPr>
              <w:tc>
                <w:tcPr>
                  <w:tcW w:w="753" w:type="pct"/>
                </w:tcPr>
                <w:p w14:paraId="53509890"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HR_PI</w:t>
                  </w:r>
                </w:p>
              </w:tc>
              <w:tc>
                <w:tcPr>
                  <w:tcW w:w="1359" w:type="pct"/>
                </w:tcPr>
                <w:p w14:paraId="55F99E5C"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Loblolly pine</w:t>
                  </w:r>
                </w:p>
              </w:tc>
              <w:tc>
                <w:tcPr>
                  <w:tcW w:w="1205" w:type="pct"/>
                </w:tcPr>
                <w:p w14:paraId="643D054A"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pine</w:t>
                  </w:r>
                </w:p>
              </w:tc>
              <w:tc>
                <w:tcPr>
                  <w:tcW w:w="937" w:type="pct"/>
                </w:tcPr>
                <w:p w14:paraId="1400C7DE" w14:textId="77777777" w:rsidR="00611786" w:rsidRPr="00611786" w:rsidRDefault="00611786" w:rsidP="00611786">
                  <w:pPr>
                    <w:autoSpaceDE w:val="0"/>
                    <w:autoSpaceDN w:val="0"/>
                    <w:adjustRightInd w:val="0"/>
                    <w:spacing w:after="0" w:line="240" w:lineRule="auto"/>
                    <w:jc w:val="right"/>
                    <w:rPr>
                      <w:rFonts w:cstheme="minorHAnsi"/>
                      <w:color w:val="000000"/>
                    </w:rPr>
                  </w:pPr>
                  <w:r w:rsidRPr="00611786">
                    <w:rPr>
                      <w:rFonts w:cstheme="minorHAnsi"/>
                      <w:color w:val="000000"/>
                    </w:rPr>
                    <w:t xml:space="preserve"> $            0.23 </w:t>
                  </w:r>
                </w:p>
              </w:tc>
              <w:tc>
                <w:tcPr>
                  <w:tcW w:w="746" w:type="pct"/>
                </w:tcPr>
                <w:p w14:paraId="7D005D45" w14:textId="77777777" w:rsidR="00611786" w:rsidRPr="00611786" w:rsidRDefault="00611786" w:rsidP="00611786">
                  <w:pPr>
                    <w:autoSpaceDE w:val="0"/>
                    <w:autoSpaceDN w:val="0"/>
                    <w:adjustRightInd w:val="0"/>
                    <w:spacing w:after="0" w:line="240" w:lineRule="auto"/>
                    <w:jc w:val="right"/>
                    <w:rPr>
                      <w:rFonts w:cstheme="minorHAnsi"/>
                      <w:color w:val="000000"/>
                    </w:rPr>
                  </w:pPr>
                  <w:r w:rsidRPr="00611786">
                    <w:rPr>
                      <w:rFonts w:cstheme="minorHAnsi"/>
                      <w:color w:val="000000"/>
                    </w:rPr>
                    <w:t xml:space="preserve"> $       0.67 </w:t>
                  </w:r>
                </w:p>
              </w:tc>
            </w:tr>
            <w:tr w:rsidR="00611786" w:rsidRPr="00611786" w14:paraId="7C719019" w14:textId="77777777" w:rsidTr="00611786">
              <w:trPr>
                <w:trHeight w:val="319"/>
              </w:trPr>
              <w:tc>
                <w:tcPr>
                  <w:tcW w:w="753" w:type="pct"/>
                </w:tcPr>
                <w:p w14:paraId="37763CEB"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HR_RG</w:t>
                  </w:r>
                </w:p>
              </w:tc>
              <w:tc>
                <w:tcPr>
                  <w:tcW w:w="1359" w:type="pct"/>
                </w:tcPr>
                <w:p w14:paraId="4E0BC1DC"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Shortleaf pine</w:t>
                  </w:r>
                </w:p>
              </w:tc>
              <w:tc>
                <w:tcPr>
                  <w:tcW w:w="1205" w:type="pct"/>
                </w:tcPr>
                <w:p w14:paraId="3419017E"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pine</w:t>
                  </w:r>
                </w:p>
              </w:tc>
              <w:tc>
                <w:tcPr>
                  <w:tcW w:w="937" w:type="pct"/>
                </w:tcPr>
                <w:p w14:paraId="3E5B202E" w14:textId="77777777" w:rsidR="00611786" w:rsidRPr="00611786" w:rsidRDefault="00611786" w:rsidP="00611786">
                  <w:pPr>
                    <w:autoSpaceDE w:val="0"/>
                    <w:autoSpaceDN w:val="0"/>
                    <w:adjustRightInd w:val="0"/>
                    <w:spacing w:after="0" w:line="240" w:lineRule="auto"/>
                    <w:jc w:val="right"/>
                    <w:rPr>
                      <w:rFonts w:cstheme="minorHAnsi"/>
                      <w:color w:val="000000"/>
                    </w:rPr>
                  </w:pPr>
                  <w:r w:rsidRPr="00611786">
                    <w:rPr>
                      <w:rFonts w:cstheme="minorHAnsi"/>
                      <w:color w:val="000000"/>
                    </w:rPr>
                    <w:t xml:space="preserve"> $            0.23 </w:t>
                  </w:r>
                </w:p>
              </w:tc>
              <w:tc>
                <w:tcPr>
                  <w:tcW w:w="746" w:type="pct"/>
                </w:tcPr>
                <w:p w14:paraId="48EE63A5" w14:textId="77777777" w:rsidR="00611786" w:rsidRPr="00611786" w:rsidRDefault="00611786" w:rsidP="00611786">
                  <w:pPr>
                    <w:autoSpaceDE w:val="0"/>
                    <w:autoSpaceDN w:val="0"/>
                    <w:adjustRightInd w:val="0"/>
                    <w:spacing w:after="0" w:line="240" w:lineRule="auto"/>
                    <w:jc w:val="right"/>
                    <w:rPr>
                      <w:rFonts w:cstheme="minorHAnsi"/>
                      <w:color w:val="000000"/>
                    </w:rPr>
                  </w:pPr>
                  <w:r w:rsidRPr="00611786">
                    <w:rPr>
                      <w:rFonts w:cstheme="minorHAnsi"/>
                      <w:color w:val="000000"/>
                    </w:rPr>
                    <w:t xml:space="preserve"> $       0.67 </w:t>
                  </w:r>
                </w:p>
              </w:tc>
            </w:tr>
            <w:tr w:rsidR="00611786" w:rsidRPr="00611786" w14:paraId="36F6381D" w14:textId="77777777" w:rsidTr="00611786">
              <w:trPr>
                <w:trHeight w:val="634"/>
              </w:trPr>
              <w:tc>
                <w:tcPr>
                  <w:tcW w:w="753" w:type="pct"/>
                </w:tcPr>
                <w:p w14:paraId="2BB20326"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OR</w:t>
                  </w:r>
                </w:p>
              </w:tc>
              <w:tc>
                <w:tcPr>
                  <w:tcW w:w="1359" w:type="pct"/>
                </w:tcPr>
                <w:p w14:paraId="672F8A37"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Chestnut oak, tulip poplar, white oak</w:t>
                  </w:r>
                </w:p>
              </w:tc>
              <w:tc>
                <w:tcPr>
                  <w:tcW w:w="1205" w:type="pct"/>
                </w:tcPr>
                <w:p w14:paraId="25D64FC7" w14:textId="77777777" w:rsidR="00611786" w:rsidRPr="00611786" w:rsidRDefault="00611786" w:rsidP="00611786">
                  <w:pPr>
                    <w:autoSpaceDE w:val="0"/>
                    <w:autoSpaceDN w:val="0"/>
                    <w:adjustRightInd w:val="0"/>
                    <w:spacing w:after="0" w:line="240" w:lineRule="auto"/>
                    <w:rPr>
                      <w:rFonts w:cstheme="minorHAnsi"/>
                      <w:color w:val="000000"/>
                    </w:rPr>
                  </w:pPr>
                  <w:r w:rsidRPr="00611786">
                    <w:rPr>
                      <w:rFonts w:cstheme="minorHAnsi"/>
                      <w:color w:val="000000"/>
                    </w:rPr>
                    <w:t>hardwood</w:t>
                  </w:r>
                </w:p>
              </w:tc>
              <w:tc>
                <w:tcPr>
                  <w:tcW w:w="937" w:type="pct"/>
                </w:tcPr>
                <w:p w14:paraId="29BF3912" w14:textId="77777777" w:rsidR="00611786" w:rsidRPr="00611786" w:rsidRDefault="00611786" w:rsidP="00611786">
                  <w:pPr>
                    <w:autoSpaceDE w:val="0"/>
                    <w:autoSpaceDN w:val="0"/>
                    <w:adjustRightInd w:val="0"/>
                    <w:spacing w:after="0" w:line="240" w:lineRule="auto"/>
                    <w:jc w:val="right"/>
                    <w:rPr>
                      <w:rFonts w:cstheme="minorHAnsi"/>
                      <w:color w:val="000000"/>
                    </w:rPr>
                  </w:pPr>
                  <w:r w:rsidRPr="00611786">
                    <w:rPr>
                      <w:rFonts w:cstheme="minorHAnsi"/>
                      <w:color w:val="000000"/>
                    </w:rPr>
                    <w:t xml:space="preserve"> $            0.25 </w:t>
                  </w:r>
                </w:p>
              </w:tc>
              <w:tc>
                <w:tcPr>
                  <w:tcW w:w="746" w:type="pct"/>
                </w:tcPr>
                <w:p w14:paraId="27FD2EB9" w14:textId="77777777" w:rsidR="00611786" w:rsidRPr="00611786" w:rsidRDefault="00611786" w:rsidP="00611786">
                  <w:pPr>
                    <w:autoSpaceDE w:val="0"/>
                    <w:autoSpaceDN w:val="0"/>
                    <w:adjustRightInd w:val="0"/>
                    <w:spacing w:after="0" w:line="240" w:lineRule="auto"/>
                    <w:jc w:val="right"/>
                    <w:rPr>
                      <w:rFonts w:cstheme="minorHAnsi"/>
                      <w:color w:val="000000"/>
                    </w:rPr>
                  </w:pPr>
                  <w:r w:rsidRPr="00611786">
                    <w:rPr>
                      <w:rFonts w:cstheme="minorHAnsi"/>
                      <w:color w:val="000000"/>
                    </w:rPr>
                    <w:t xml:space="preserve"> $       0.84 </w:t>
                  </w:r>
                </w:p>
              </w:tc>
            </w:tr>
          </w:tbl>
          <w:p w14:paraId="2FFF15F6" w14:textId="0E7D6CD5" w:rsidR="002405DD" w:rsidRPr="00792C0E" w:rsidRDefault="002405DD" w:rsidP="00792C0E"/>
          <w:p w14:paraId="3EFA047E" w14:textId="4380B948" w:rsidR="00A72D03" w:rsidRDefault="00EA78A8" w:rsidP="00A16F26">
            <w:r>
              <w:t xml:space="preserve">As a state institution, UT pays no </w:t>
            </w:r>
            <w:r w:rsidR="007344DF">
              <w:t>p</w:t>
            </w:r>
            <w:r w:rsidR="007344DF" w:rsidRPr="00F73BA0">
              <w:t>roperty taxes</w:t>
            </w:r>
            <w:r>
              <w:t xml:space="preserve"> for the project properties</w:t>
            </w:r>
            <w:r w:rsidR="007344DF">
              <w:t xml:space="preserve">. </w:t>
            </w:r>
            <w:r w:rsidR="007344DF" w:rsidRPr="00F73BA0">
              <w:t>We did not separately project costs related to cut</w:t>
            </w:r>
            <w:r w:rsidR="007344DF">
              <w:t xml:space="preserve">ting, </w:t>
            </w:r>
            <w:r w:rsidR="007344DF" w:rsidRPr="00F73BA0">
              <w:t>hauling</w:t>
            </w:r>
            <w:r w:rsidR="007344DF">
              <w:t xml:space="preserve"> and delivery</w:t>
            </w:r>
            <w:r w:rsidR="009D063D">
              <w:t xml:space="preserve"> </w:t>
            </w:r>
            <w:r w:rsidR="007344DF" w:rsidRPr="00F73BA0">
              <w:t>because they are implicitly accounted for in the stumpage price</w:t>
            </w:r>
            <w:r w:rsidR="007344DF">
              <w:t>s</w:t>
            </w:r>
            <w:r w:rsidR="007344DF" w:rsidRPr="00F73BA0">
              <w:t>.</w:t>
            </w:r>
            <w:r w:rsidR="007344DF">
              <w:t xml:space="preserve"> An extensive road network already exists in the project area</w:t>
            </w:r>
            <w:r>
              <w:t xml:space="preserve"> (e.g. existing old strip mine roads on the Cumberland Forests)</w:t>
            </w:r>
            <w:r w:rsidR="007344DF">
              <w:t xml:space="preserve">, and no new road construction is necessary to facilitate harvests. </w:t>
            </w:r>
          </w:p>
          <w:p w14:paraId="5BF934ED" w14:textId="460718D1" w:rsidR="007344DF" w:rsidRPr="006F2719" w:rsidRDefault="007344DF" w:rsidP="00A16F26">
            <w:pPr>
              <w:rPr>
                <w:i/>
              </w:rPr>
            </w:pPr>
            <w:r w:rsidRPr="006F2719">
              <w:rPr>
                <w:i/>
              </w:rPr>
              <w:t xml:space="preserve">NPV calculation and optimal </w:t>
            </w:r>
            <w:r>
              <w:rPr>
                <w:i/>
              </w:rPr>
              <w:t>harvest scheduling</w:t>
            </w:r>
          </w:p>
          <w:p w14:paraId="28A11A39" w14:textId="46FED60F" w:rsidR="007344DF" w:rsidRDefault="007344DF" w:rsidP="00A16F26">
            <w:r>
              <w:t>F</w:t>
            </w:r>
            <w:r w:rsidRPr="006F2719">
              <w:t xml:space="preserve">or each stratum and </w:t>
            </w:r>
            <w:r>
              <w:t>harvest</w:t>
            </w:r>
            <w:r w:rsidRPr="006F2719">
              <w:t xml:space="preserve"> scenario, we calculated the NPV of cash flows at each year during the 100-year period using the </w:t>
            </w:r>
            <w:r>
              <w:t>4</w:t>
            </w:r>
            <w:r w:rsidRPr="006F2719">
              <w:t>% real discount rate</w:t>
            </w:r>
            <w:r w:rsidR="009D73E1">
              <w:t>.</w:t>
            </w:r>
            <w:r w:rsidRPr="006F2719">
              <w:t xml:space="preserve"> </w:t>
            </w:r>
          </w:p>
          <w:p w14:paraId="57864E8A" w14:textId="0594A649" w:rsidR="007344DF" w:rsidRDefault="007344DF" w:rsidP="00A16F26">
            <w:r w:rsidRPr="00EB77FD">
              <w:t xml:space="preserve">The results of our analysis are presented </w:t>
            </w:r>
            <w:r>
              <w:t>below (and in “</w:t>
            </w:r>
            <w:r w:rsidR="00263C87" w:rsidRPr="00263C87">
              <w:t>NPV UTK</w:t>
            </w:r>
            <w:r w:rsidR="00F2281B">
              <w:t>*</w:t>
            </w:r>
            <w:r>
              <w:t xml:space="preserve">.xls”) </w:t>
            </w:r>
            <w:r w:rsidRPr="00EB77FD">
              <w:t>and support the basis for the management scenarios incorporated in the project baseline</w:t>
            </w:r>
            <w:r w:rsidR="0055325B">
              <w:t>.</w:t>
            </w:r>
          </w:p>
          <w:tbl>
            <w:tblPr>
              <w:tblW w:w="9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14"/>
              <w:gridCol w:w="2080"/>
              <w:gridCol w:w="1620"/>
              <w:gridCol w:w="1712"/>
              <w:gridCol w:w="1340"/>
              <w:gridCol w:w="1560"/>
            </w:tblGrid>
            <w:tr w:rsidR="00654AA1" w:rsidRPr="00E264CD" w14:paraId="2C12AC86" w14:textId="77777777" w:rsidTr="00CE2A02">
              <w:trPr>
                <w:trHeight w:val="570"/>
              </w:trPr>
              <w:tc>
                <w:tcPr>
                  <w:tcW w:w="1514" w:type="dxa"/>
                  <w:shd w:val="clear" w:color="auto" w:fill="auto"/>
                  <w:noWrap/>
                  <w:vAlign w:val="bottom"/>
                  <w:hideMark/>
                </w:tcPr>
                <w:p w14:paraId="0339C236" w14:textId="77777777" w:rsidR="00654AA1" w:rsidRPr="00CD6862" w:rsidRDefault="00654AA1" w:rsidP="00A16F26">
                  <w:pPr>
                    <w:rPr>
                      <w:rFonts w:eastAsia="Times New Roman"/>
                      <w:b/>
                      <w:bCs/>
                      <w:color w:val="000000"/>
                    </w:rPr>
                  </w:pPr>
                  <w:r w:rsidRPr="00CD6862">
                    <w:rPr>
                      <w:rFonts w:eastAsia="Times New Roman"/>
                      <w:b/>
                      <w:bCs/>
                      <w:color w:val="000000"/>
                    </w:rPr>
                    <w:t>Stratum</w:t>
                  </w:r>
                </w:p>
              </w:tc>
              <w:tc>
                <w:tcPr>
                  <w:tcW w:w="2080" w:type="dxa"/>
                  <w:shd w:val="clear" w:color="auto" w:fill="auto"/>
                  <w:vAlign w:val="bottom"/>
                  <w:hideMark/>
                </w:tcPr>
                <w:p w14:paraId="59DC34D5" w14:textId="77777777" w:rsidR="00654AA1" w:rsidRPr="00CD6862" w:rsidRDefault="00654AA1" w:rsidP="00A16F26">
                  <w:pPr>
                    <w:jc w:val="center"/>
                    <w:rPr>
                      <w:rFonts w:eastAsia="Times New Roman"/>
                      <w:b/>
                      <w:bCs/>
                      <w:color w:val="000000"/>
                    </w:rPr>
                  </w:pPr>
                  <w:r w:rsidRPr="00CD6862">
                    <w:rPr>
                      <w:rFonts w:eastAsia="Times New Roman"/>
                      <w:b/>
                      <w:bCs/>
                      <w:color w:val="000000"/>
                    </w:rPr>
                    <w:t>harvest</w:t>
                  </w:r>
                </w:p>
              </w:tc>
              <w:tc>
                <w:tcPr>
                  <w:tcW w:w="1620" w:type="dxa"/>
                  <w:shd w:val="clear" w:color="auto" w:fill="auto"/>
                  <w:vAlign w:val="bottom"/>
                  <w:hideMark/>
                </w:tcPr>
                <w:p w14:paraId="6FE3B774" w14:textId="77777777" w:rsidR="00654AA1" w:rsidRPr="00CD6862" w:rsidRDefault="00654AA1" w:rsidP="00A16F26">
                  <w:pPr>
                    <w:jc w:val="center"/>
                    <w:rPr>
                      <w:rFonts w:eastAsia="Times New Roman"/>
                      <w:b/>
                      <w:bCs/>
                      <w:color w:val="000000"/>
                    </w:rPr>
                  </w:pPr>
                  <w:r w:rsidRPr="00CD6862">
                    <w:rPr>
                      <w:rFonts w:eastAsia="Times New Roman"/>
                      <w:b/>
                      <w:bCs/>
                      <w:color w:val="000000"/>
                    </w:rPr>
                    <w:t>abbreviation</w:t>
                  </w:r>
                </w:p>
              </w:tc>
              <w:tc>
                <w:tcPr>
                  <w:tcW w:w="1712" w:type="dxa"/>
                </w:tcPr>
                <w:p w14:paraId="5F3BB25D" w14:textId="61D8B3FE" w:rsidR="00654AA1" w:rsidRPr="00CD6862" w:rsidRDefault="00920365" w:rsidP="00A16F26">
                  <w:pPr>
                    <w:jc w:val="center"/>
                    <w:rPr>
                      <w:rFonts w:eastAsia="Times New Roman"/>
                      <w:b/>
                      <w:bCs/>
                      <w:color w:val="000000"/>
                    </w:rPr>
                  </w:pPr>
                  <w:r>
                    <w:rPr>
                      <w:rFonts w:eastAsia="Times New Roman"/>
                      <w:b/>
                      <w:bCs/>
                      <w:color w:val="000000"/>
                    </w:rPr>
                    <w:t>FVS-SN</w:t>
                  </w:r>
                  <w:r w:rsidR="00654AA1">
                    <w:rPr>
                      <w:rFonts w:eastAsia="Times New Roman"/>
                      <w:b/>
                      <w:bCs/>
                      <w:color w:val="000000"/>
                    </w:rPr>
                    <w:t xml:space="preserve"> projection source</w:t>
                  </w:r>
                </w:p>
              </w:tc>
              <w:tc>
                <w:tcPr>
                  <w:tcW w:w="1340" w:type="dxa"/>
                  <w:shd w:val="clear" w:color="auto" w:fill="auto"/>
                  <w:vAlign w:val="bottom"/>
                  <w:hideMark/>
                </w:tcPr>
                <w:p w14:paraId="0E01D973" w14:textId="5382E298" w:rsidR="00654AA1" w:rsidRPr="00CD6862" w:rsidRDefault="00654AA1" w:rsidP="00A16F26">
                  <w:pPr>
                    <w:jc w:val="center"/>
                    <w:rPr>
                      <w:rFonts w:eastAsia="Times New Roman"/>
                      <w:b/>
                      <w:bCs/>
                      <w:color w:val="000000"/>
                    </w:rPr>
                  </w:pPr>
                  <w:r w:rsidRPr="00CD6862">
                    <w:rPr>
                      <w:rFonts w:eastAsia="Times New Roman"/>
                      <w:b/>
                      <w:bCs/>
                      <w:color w:val="000000"/>
                    </w:rPr>
                    <w:t xml:space="preserve">max </w:t>
                  </w:r>
                  <w:r>
                    <w:rPr>
                      <w:rFonts w:eastAsia="Times New Roman"/>
                      <w:b/>
                      <w:bCs/>
                      <w:color w:val="000000"/>
                    </w:rPr>
                    <w:t>N</w:t>
                  </w:r>
                  <w:r w:rsidRPr="00CD6862">
                    <w:rPr>
                      <w:rFonts w:eastAsia="Times New Roman"/>
                      <w:b/>
                      <w:bCs/>
                      <w:color w:val="000000"/>
                    </w:rPr>
                    <w:t>PV revenues</w:t>
                  </w:r>
                  <w:r>
                    <w:rPr>
                      <w:rFonts w:eastAsia="Times New Roman"/>
                      <w:b/>
                      <w:bCs/>
                      <w:color w:val="000000"/>
                    </w:rPr>
                    <w:t xml:space="preserve"> ($/acre)</w:t>
                  </w:r>
                </w:p>
              </w:tc>
              <w:tc>
                <w:tcPr>
                  <w:tcW w:w="1560" w:type="dxa"/>
                  <w:shd w:val="clear" w:color="auto" w:fill="auto"/>
                  <w:vAlign w:val="bottom"/>
                  <w:hideMark/>
                </w:tcPr>
                <w:p w14:paraId="77FFD170" w14:textId="34E54199" w:rsidR="00654AA1" w:rsidRPr="00CD6862" w:rsidRDefault="000541FE" w:rsidP="00A16F26">
                  <w:pPr>
                    <w:jc w:val="center"/>
                    <w:rPr>
                      <w:rFonts w:eastAsia="Times New Roman"/>
                      <w:b/>
                      <w:bCs/>
                      <w:color w:val="000000"/>
                    </w:rPr>
                  </w:pPr>
                  <w:r>
                    <w:rPr>
                      <w:rFonts w:eastAsia="Times New Roman"/>
                      <w:b/>
                      <w:bCs/>
                      <w:color w:val="000000"/>
                    </w:rPr>
                    <w:t xml:space="preserve">Model </w:t>
                  </w:r>
                  <w:r w:rsidR="00654AA1">
                    <w:rPr>
                      <w:rFonts w:eastAsia="Times New Roman"/>
                      <w:b/>
                      <w:bCs/>
                      <w:color w:val="000000"/>
                    </w:rPr>
                    <w:t>year</w:t>
                  </w:r>
                </w:p>
              </w:tc>
            </w:tr>
            <w:tr w:rsidR="00654AA1" w:rsidRPr="00E264CD" w14:paraId="548EBE17" w14:textId="77777777" w:rsidTr="00CE2A02">
              <w:trPr>
                <w:trHeight w:val="285"/>
              </w:trPr>
              <w:tc>
                <w:tcPr>
                  <w:tcW w:w="1514" w:type="dxa"/>
                  <w:shd w:val="clear" w:color="auto" w:fill="auto"/>
                  <w:noWrap/>
                  <w:vAlign w:val="bottom"/>
                </w:tcPr>
                <w:p w14:paraId="63716DD0" w14:textId="4E700208" w:rsidR="00654AA1" w:rsidRPr="00CD6862" w:rsidRDefault="00263C87" w:rsidP="00A16F26">
                  <w:pPr>
                    <w:rPr>
                      <w:rFonts w:eastAsia="Times New Roman"/>
                      <w:color w:val="000000"/>
                    </w:rPr>
                  </w:pPr>
                  <w:r>
                    <w:rPr>
                      <w:rFonts w:eastAsia="Times New Roman"/>
                      <w:color w:val="000000"/>
                    </w:rPr>
                    <w:t>CN</w:t>
                  </w:r>
                </w:p>
              </w:tc>
              <w:tc>
                <w:tcPr>
                  <w:tcW w:w="2080" w:type="dxa"/>
                  <w:shd w:val="clear" w:color="auto" w:fill="auto"/>
                  <w:noWrap/>
                  <w:vAlign w:val="bottom"/>
                </w:tcPr>
                <w:p w14:paraId="118EBC4D" w14:textId="77777777" w:rsidR="00654AA1" w:rsidRPr="00CD6862" w:rsidRDefault="00654AA1" w:rsidP="00A16F26">
                  <w:pPr>
                    <w:rPr>
                      <w:rFonts w:eastAsia="Times New Roman"/>
                      <w:color w:val="000000"/>
                    </w:rPr>
                  </w:pPr>
                  <w:r>
                    <w:rPr>
                      <w:rFonts w:eastAsia="Times New Roman"/>
                      <w:color w:val="000000"/>
                    </w:rPr>
                    <w:t>First clearcut</w:t>
                  </w:r>
                </w:p>
              </w:tc>
              <w:tc>
                <w:tcPr>
                  <w:tcW w:w="1620" w:type="dxa"/>
                  <w:shd w:val="clear" w:color="auto" w:fill="auto"/>
                  <w:noWrap/>
                  <w:vAlign w:val="bottom"/>
                </w:tcPr>
                <w:p w14:paraId="2BDA937E" w14:textId="77051685" w:rsidR="00654AA1" w:rsidRPr="00CD6862" w:rsidRDefault="00263C87" w:rsidP="00A16F26">
                  <w:pPr>
                    <w:rPr>
                      <w:rFonts w:eastAsia="Times New Roman"/>
                      <w:color w:val="000000"/>
                    </w:rPr>
                  </w:pPr>
                  <w:r>
                    <w:rPr>
                      <w:rFonts w:eastAsia="Times New Roman"/>
                      <w:color w:val="000000"/>
                    </w:rPr>
                    <w:t xml:space="preserve">CN </w:t>
                  </w:r>
                  <w:r w:rsidR="000D5DCB">
                    <w:rPr>
                      <w:rFonts w:eastAsia="Times New Roman"/>
                      <w:color w:val="000000"/>
                    </w:rPr>
                    <w:t>grow</w:t>
                  </w:r>
                </w:p>
              </w:tc>
              <w:tc>
                <w:tcPr>
                  <w:tcW w:w="1712" w:type="dxa"/>
                </w:tcPr>
                <w:p w14:paraId="181D8356" w14:textId="4EF6FF30" w:rsidR="00654AA1" w:rsidRDefault="000A5622" w:rsidP="00A16F26">
                  <w:pPr>
                    <w:jc w:val="center"/>
                    <w:rPr>
                      <w:rFonts w:eastAsia="Times New Roman"/>
                      <w:color w:val="000000"/>
                    </w:rPr>
                  </w:pPr>
                  <w:r>
                    <w:t>“NPV”</w:t>
                  </w:r>
                  <w:r w:rsidR="00EC1B82">
                    <w:t xml:space="preserve">, </w:t>
                  </w:r>
                  <w:r>
                    <w:t>stand “CN”, MgmtID “A001”</w:t>
                  </w:r>
                </w:p>
              </w:tc>
              <w:tc>
                <w:tcPr>
                  <w:tcW w:w="1340" w:type="dxa"/>
                  <w:shd w:val="clear" w:color="auto" w:fill="auto"/>
                  <w:noWrap/>
                  <w:vAlign w:val="bottom"/>
                </w:tcPr>
                <w:p w14:paraId="7B59011E" w14:textId="7E19E368" w:rsidR="00654AA1" w:rsidRPr="00CD6862" w:rsidRDefault="00623AA9" w:rsidP="00A16F26">
                  <w:pPr>
                    <w:jc w:val="center"/>
                    <w:rPr>
                      <w:rFonts w:eastAsia="Times New Roman"/>
                      <w:color w:val="000000"/>
                    </w:rPr>
                  </w:pPr>
                  <w:r>
                    <w:rPr>
                      <w:rFonts w:eastAsia="Times New Roman"/>
                      <w:color w:val="000000"/>
                    </w:rPr>
                    <w:t>$2,</w:t>
                  </w:r>
                  <w:r w:rsidR="005D0A6E">
                    <w:rPr>
                      <w:rFonts w:eastAsia="Times New Roman"/>
                      <w:color w:val="000000"/>
                    </w:rPr>
                    <w:t>593</w:t>
                  </w:r>
                </w:p>
              </w:tc>
              <w:tc>
                <w:tcPr>
                  <w:tcW w:w="1560" w:type="dxa"/>
                  <w:shd w:val="clear" w:color="auto" w:fill="auto"/>
                  <w:noWrap/>
                  <w:vAlign w:val="bottom"/>
                </w:tcPr>
                <w:p w14:paraId="208CCC85" w14:textId="4808EC6C" w:rsidR="00654AA1" w:rsidRPr="00CD6862" w:rsidRDefault="0055325B" w:rsidP="00A16F26">
                  <w:pPr>
                    <w:jc w:val="center"/>
                    <w:rPr>
                      <w:rFonts w:eastAsia="Times New Roman"/>
                      <w:color w:val="000000"/>
                    </w:rPr>
                  </w:pPr>
                  <w:r>
                    <w:rPr>
                      <w:rFonts w:eastAsia="Times New Roman"/>
                      <w:color w:val="000000"/>
                    </w:rPr>
                    <w:t>0</w:t>
                  </w:r>
                </w:p>
              </w:tc>
            </w:tr>
            <w:tr w:rsidR="0055325B" w:rsidRPr="00E264CD" w14:paraId="71338995" w14:textId="77777777" w:rsidTr="00CE2A02">
              <w:trPr>
                <w:trHeight w:val="285"/>
              </w:trPr>
              <w:tc>
                <w:tcPr>
                  <w:tcW w:w="1514" w:type="dxa"/>
                  <w:shd w:val="clear" w:color="auto" w:fill="auto"/>
                  <w:noWrap/>
                  <w:vAlign w:val="bottom"/>
                </w:tcPr>
                <w:p w14:paraId="031F65E8" w14:textId="4AD832F8" w:rsidR="0055325B" w:rsidRPr="00CD6862" w:rsidRDefault="0055325B" w:rsidP="0055325B">
                  <w:pPr>
                    <w:rPr>
                      <w:rFonts w:eastAsia="Times New Roman"/>
                      <w:color w:val="000000"/>
                    </w:rPr>
                  </w:pPr>
                  <w:r>
                    <w:rPr>
                      <w:rFonts w:eastAsia="Times New Roman"/>
                      <w:color w:val="000000"/>
                    </w:rPr>
                    <w:t>CS</w:t>
                  </w:r>
                </w:p>
              </w:tc>
              <w:tc>
                <w:tcPr>
                  <w:tcW w:w="2080" w:type="dxa"/>
                  <w:shd w:val="clear" w:color="auto" w:fill="auto"/>
                  <w:noWrap/>
                  <w:vAlign w:val="bottom"/>
                </w:tcPr>
                <w:p w14:paraId="669517D2" w14:textId="26693911" w:rsidR="0055325B" w:rsidRPr="00CD6862" w:rsidRDefault="0055325B" w:rsidP="0055325B">
                  <w:pPr>
                    <w:rPr>
                      <w:rFonts w:eastAsia="Times New Roman"/>
                      <w:color w:val="000000"/>
                    </w:rPr>
                  </w:pPr>
                  <w:r>
                    <w:rPr>
                      <w:rFonts w:eastAsia="Times New Roman"/>
                      <w:color w:val="000000"/>
                    </w:rPr>
                    <w:t>First clearcut</w:t>
                  </w:r>
                </w:p>
              </w:tc>
              <w:tc>
                <w:tcPr>
                  <w:tcW w:w="1620" w:type="dxa"/>
                  <w:shd w:val="clear" w:color="auto" w:fill="auto"/>
                  <w:noWrap/>
                  <w:vAlign w:val="bottom"/>
                </w:tcPr>
                <w:p w14:paraId="00BFC962" w14:textId="28CF949C" w:rsidR="0055325B" w:rsidRPr="00CD6862" w:rsidRDefault="0055325B" w:rsidP="0055325B">
                  <w:pPr>
                    <w:rPr>
                      <w:rFonts w:eastAsia="Times New Roman"/>
                      <w:color w:val="000000"/>
                    </w:rPr>
                  </w:pPr>
                  <w:r>
                    <w:rPr>
                      <w:rFonts w:eastAsia="Times New Roman"/>
                      <w:color w:val="000000"/>
                    </w:rPr>
                    <w:t>CS grow</w:t>
                  </w:r>
                </w:p>
              </w:tc>
              <w:tc>
                <w:tcPr>
                  <w:tcW w:w="1712" w:type="dxa"/>
                </w:tcPr>
                <w:p w14:paraId="38D97824" w14:textId="371C6581" w:rsidR="0055325B" w:rsidRDefault="0055325B" w:rsidP="0055325B">
                  <w:pPr>
                    <w:jc w:val="center"/>
                    <w:rPr>
                      <w:rFonts w:eastAsia="Times New Roman"/>
                      <w:color w:val="000000"/>
                    </w:rPr>
                  </w:pPr>
                  <w:r w:rsidRPr="00F865FA">
                    <w:t>“NPV”, stand “</w:t>
                  </w:r>
                  <w:r>
                    <w:t>CS</w:t>
                  </w:r>
                  <w:r w:rsidRPr="00F865FA">
                    <w:t>”, MgmtID “A001”</w:t>
                  </w:r>
                </w:p>
              </w:tc>
              <w:tc>
                <w:tcPr>
                  <w:tcW w:w="1340" w:type="dxa"/>
                  <w:shd w:val="clear" w:color="auto" w:fill="auto"/>
                  <w:noWrap/>
                  <w:vAlign w:val="bottom"/>
                </w:tcPr>
                <w:p w14:paraId="589D62E8" w14:textId="6D42FBEF" w:rsidR="0055325B" w:rsidRPr="00CD6862" w:rsidRDefault="00623AA9" w:rsidP="0055325B">
                  <w:pPr>
                    <w:jc w:val="center"/>
                    <w:rPr>
                      <w:rFonts w:eastAsia="Times New Roman"/>
                      <w:color w:val="000000"/>
                    </w:rPr>
                  </w:pPr>
                  <w:r>
                    <w:rPr>
                      <w:rFonts w:eastAsia="Times New Roman"/>
                      <w:color w:val="000000"/>
                    </w:rPr>
                    <w:t>$2,215</w:t>
                  </w:r>
                </w:p>
              </w:tc>
              <w:tc>
                <w:tcPr>
                  <w:tcW w:w="1560" w:type="dxa"/>
                  <w:shd w:val="clear" w:color="auto" w:fill="auto"/>
                  <w:noWrap/>
                  <w:vAlign w:val="bottom"/>
                </w:tcPr>
                <w:p w14:paraId="28E841DD" w14:textId="6873D65B" w:rsidR="0055325B" w:rsidRPr="00CD6862" w:rsidRDefault="0055325B" w:rsidP="0055325B">
                  <w:pPr>
                    <w:jc w:val="center"/>
                    <w:rPr>
                      <w:rFonts w:eastAsia="Times New Roman"/>
                      <w:color w:val="000000"/>
                    </w:rPr>
                  </w:pPr>
                  <w:r>
                    <w:rPr>
                      <w:rFonts w:eastAsia="Times New Roman"/>
                      <w:color w:val="000000"/>
                    </w:rPr>
                    <w:t>0</w:t>
                  </w:r>
                </w:p>
              </w:tc>
            </w:tr>
            <w:tr w:rsidR="0055325B" w:rsidRPr="00E264CD" w14:paraId="122B0096" w14:textId="77777777" w:rsidTr="00CE2A02">
              <w:trPr>
                <w:trHeight w:val="285"/>
              </w:trPr>
              <w:tc>
                <w:tcPr>
                  <w:tcW w:w="1514" w:type="dxa"/>
                  <w:shd w:val="clear" w:color="auto" w:fill="auto"/>
                  <w:noWrap/>
                  <w:vAlign w:val="bottom"/>
                </w:tcPr>
                <w:p w14:paraId="61321236" w14:textId="6A08B998" w:rsidR="0055325B" w:rsidRPr="00CD6862" w:rsidRDefault="0055325B" w:rsidP="0055325B">
                  <w:pPr>
                    <w:rPr>
                      <w:rFonts w:eastAsia="Times New Roman"/>
                      <w:color w:val="000000"/>
                    </w:rPr>
                  </w:pPr>
                  <w:r>
                    <w:rPr>
                      <w:rFonts w:eastAsia="Times New Roman"/>
                      <w:color w:val="000000"/>
                    </w:rPr>
                    <w:t>OR</w:t>
                  </w:r>
                </w:p>
              </w:tc>
              <w:tc>
                <w:tcPr>
                  <w:tcW w:w="2080" w:type="dxa"/>
                  <w:shd w:val="clear" w:color="auto" w:fill="auto"/>
                  <w:noWrap/>
                  <w:vAlign w:val="bottom"/>
                </w:tcPr>
                <w:p w14:paraId="58F18FD6" w14:textId="67DED7E3" w:rsidR="0055325B" w:rsidRPr="00CD6862" w:rsidRDefault="0055325B" w:rsidP="0055325B">
                  <w:pPr>
                    <w:rPr>
                      <w:rFonts w:eastAsia="Times New Roman"/>
                      <w:color w:val="000000"/>
                    </w:rPr>
                  </w:pPr>
                  <w:r>
                    <w:rPr>
                      <w:rFonts w:eastAsia="Times New Roman"/>
                      <w:color w:val="000000"/>
                    </w:rPr>
                    <w:t>First clearcut</w:t>
                  </w:r>
                </w:p>
              </w:tc>
              <w:tc>
                <w:tcPr>
                  <w:tcW w:w="1620" w:type="dxa"/>
                  <w:shd w:val="clear" w:color="auto" w:fill="auto"/>
                  <w:noWrap/>
                  <w:vAlign w:val="bottom"/>
                </w:tcPr>
                <w:p w14:paraId="4627E600" w14:textId="119BFFFF" w:rsidR="0055325B" w:rsidRPr="00CD6862" w:rsidRDefault="0055325B" w:rsidP="0055325B">
                  <w:pPr>
                    <w:rPr>
                      <w:rFonts w:eastAsia="Times New Roman"/>
                      <w:color w:val="000000"/>
                    </w:rPr>
                  </w:pPr>
                  <w:r>
                    <w:rPr>
                      <w:rFonts w:eastAsia="Times New Roman"/>
                      <w:color w:val="000000"/>
                    </w:rPr>
                    <w:t>OR grow</w:t>
                  </w:r>
                </w:p>
              </w:tc>
              <w:tc>
                <w:tcPr>
                  <w:tcW w:w="1712" w:type="dxa"/>
                </w:tcPr>
                <w:p w14:paraId="5E086ACB" w14:textId="03B4D4A2" w:rsidR="0055325B" w:rsidRDefault="0055325B" w:rsidP="0055325B">
                  <w:pPr>
                    <w:jc w:val="center"/>
                    <w:rPr>
                      <w:rFonts w:eastAsia="Times New Roman"/>
                      <w:color w:val="000000"/>
                    </w:rPr>
                  </w:pPr>
                  <w:r w:rsidRPr="00F865FA">
                    <w:t>“NPV”, stand “</w:t>
                  </w:r>
                  <w:r>
                    <w:t>OR</w:t>
                  </w:r>
                  <w:r w:rsidRPr="00F865FA">
                    <w:t>”, MgmtID “A001”</w:t>
                  </w:r>
                </w:p>
              </w:tc>
              <w:tc>
                <w:tcPr>
                  <w:tcW w:w="1340" w:type="dxa"/>
                  <w:shd w:val="clear" w:color="auto" w:fill="auto"/>
                  <w:noWrap/>
                  <w:vAlign w:val="bottom"/>
                </w:tcPr>
                <w:p w14:paraId="03AF5F00" w14:textId="03D9EF9A" w:rsidR="0055325B" w:rsidRPr="00CD6862" w:rsidRDefault="00623AA9" w:rsidP="0055325B">
                  <w:pPr>
                    <w:jc w:val="center"/>
                    <w:rPr>
                      <w:rFonts w:eastAsia="Times New Roman"/>
                      <w:color w:val="000000"/>
                    </w:rPr>
                  </w:pPr>
                  <w:r>
                    <w:rPr>
                      <w:rFonts w:eastAsia="Times New Roman"/>
                      <w:color w:val="000000"/>
                    </w:rPr>
                    <w:t>$1,628</w:t>
                  </w:r>
                </w:p>
              </w:tc>
              <w:tc>
                <w:tcPr>
                  <w:tcW w:w="1560" w:type="dxa"/>
                  <w:shd w:val="clear" w:color="auto" w:fill="auto"/>
                  <w:noWrap/>
                  <w:vAlign w:val="bottom"/>
                </w:tcPr>
                <w:p w14:paraId="79DC4409" w14:textId="4F0CC14D" w:rsidR="0055325B" w:rsidRPr="00CD6862" w:rsidRDefault="0055325B" w:rsidP="0055325B">
                  <w:pPr>
                    <w:jc w:val="center"/>
                    <w:rPr>
                      <w:rFonts w:eastAsia="Times New Roman"/>
                      <w:color w:val="000000"/>
                    </w:rPr>
                  </w:pPr>
                  <w:r>
                    <w:rPr>
                      <w:rFonts w:eastAsia="Times New Roman"/>
                      <w:color w:val="000000"/>
                    </w:rPr>
                    <w:t>0</w:t>
                  </w:r>
                </w:p>
              </w:tc>
            </w:tr>
            <w:tr w:rsidR="0055325B" w:rsidRPr="00E264CD" w14:paraId="6F4BD166" w14:textId="77777777" w:rsidTr="00CE2A02">
              <w:trPr>
                <w:trHeight w:val="285"/>
              </w:trPr>
              <w:tc>
                <w:tcPr>
                  <w:tcW w:w="1514" w:type="dxa"/>
                  <w:shd w:val="clear" w:color="auto" w:fill="auto"/>
                  <w:noWrap/>
                  <w:vAlign w:val="bottom"/>
                </w:tcPr>
                <w:p w14:paraId="16C242F3" w14:textId="70898419" w:rsidR="0055325B" w:rsidRPr="00CD6862" w:rsidRDefault="0055325B" w:rsidP="0055325B">
                  <w:pPr>
                    <w:rPr>
                      <w:rFonts w:eastAsia="Times New Roman"/>
                      <w:color w:val="000000"/>
                    </w:rPr>
                  </w:pPr>
                  <w:r>
                    <w:rPr>
                      <w:rFonts w:eastAsia="Times New Roman"/>
                      <w:color w:val="000000"/>
                    </w:rPr>
                    <w:t>HR_HW</w:t>
                  </w:r>
                </w:p>
              </w:tc>
              <w:tc>
                <w:tcPr>
                  <w:tcW w:w="2080" w:type="dxa"/>
                  <w:shd w:val="clear" w:color="auto" w:fill="auto"/>
                  <w:noWrap/>
                  <w:vAlign w:val="bottom"/>
                </w:tcPr>
                <w:p w14:paraId="358F308E" w14:textId="4123268B" w:rsidR="0055325B" w:rsidRPr="00CD6862" w:rsidRDefault="0055325B" w:rsidP="0055325B">
                  <w:pPr>
                    <w:rPr>
                      <w:rFonts w:eastAsia="Times New Roman"/>
                      <w:color w:val="000000"/>
                    </w:rPr>
                  </w:pPr>
                  <w:r>
                    <w:rPr>
                      <w:rFonts w:eastAsia="Times New Roman"/>
                      <w:color w:val="000000"/>
                    </w:rPr>
                    <w:t>First clearcut</w:t>
                  </w:r>
                </w:p>
              </w:tc>
              <w:tc>
                <w:tcPr>
                  <w:tcW w:w="1620" w:type="dxa"/>
                  <w:shd w:val="clear" w:color="auto" w:fill="auto"/>
                  <w:noWrap/>
                  <w:vAlign w:val="bottom"/>
                </w:tcPr>
                <w:p w14:paraId="51468DFA" w14:textId="7453D792" w:rsidR="0055325B" w:rsidRPr="00CD6862" w:rsidRDefault="0055325B" w:rsidP="0055325B">
                  <w:pPr>
                    <w:rPr>
                      <w:rFonts w:eastAsia="Times New Roman"/>
                      <w:color w:val="000000"/>
                    </w:rPr>
                  </w:pPr>
                  <w:r>
                    <w:rPr>
                      <w:rFonts w:eastAsia="Times New Roman"/>
                      <w:color w:val="000000"/>
                    </w:rPr>
                    <w:t>HR_HW grow</w:t>
                  </w:r>
                </w:p>
              </w:tc>
              <w:tc>
                <w:tcPr>
                  <w:tcW w:w="1712" w:type="dxa"/>
                </w:tcPr>
                <w:p w14:paraId="078EF050" w14:textId="3F23D56F" w:rsidR="0055325B" w:rsidRDefault="0055325B" w:rsidP="0055325B">
                  <w:pPr>
                    <w:jc w:val="center"/>
                    <w:rPr>
                      <w:rFonts w:eastAsia="Times New Roman"/>
                      <w:color w:val="000000"/>
                    </w:rPr>
                  </w:pPr>
                  <w:r w:rsidRPr="00F865FA">
                    <w:t>“NPV”, stand “</w:t>
                  </w:r>
                  <w:r>
                    <w:t>HR_HW</w:t>
                  </w:r>
                  <w:r w:rsidRPr="00F865FA">
                    <w:t>”, MgmtID “A001”</w:t>
                  </w:r>
                </w:p>
              </w:tc>
              <w:tc>
                <w:tcPr>
                  <w:tcW w:w="1340" w:type="dxa"/>
                  <w:shd w:val="clear" w:color="auto" w:fill="auto"/>
                  <w:noWrap/>
                  <w:vAlign w:val="bottom"/>
                </w:tcPr>
                <w:p w14:paraId="1AC19A39" w14:textId="423610F4" w:rsidR="0055325B" w:rsidRPr="00CD6862" w:rsidRDefault="00623AA9" w:rsidP="0055325B">
                  <w:pPr>
                    <w:jc w:val="center"/>
                    <w:rPr>
                      <w:rFonts w:eastAsia="Times New Roman"/>
                      <w:color w:val="000000"/>
                    </w:rPr>
                  </w:pPr>
                  <w:r>
                    <w:rPr>
                      <w:rFonts w:eastAsia="Times New Roman"/>
                      <w:color w:val="000000"/>
                    </w:rPr>
                    <w:t>$1,55</w:t>
                  </w:r>
                  <w:r w:rsidR="00130DE6">
                    <w:rPr>
                      <w:rFonts w:eastAsia="Times New Roman"/>
                      <w:color w:val="000000"/>
                    </w:rPr>
                    <w:t>2</w:t>
                  </w:r>
                </w:p>
              </w:tc>
              <w:tc>
                <w:tcPr>
                  <w:tcW w:w="1560" w:type="dxa"/>
                  <w:shd w:val="clear" w:color="auto" w:fill="auto"/>
                  <w:noWrap/>
                  <w:vAlign w:val="bottom"/>
                </w:tcPr>
                <w:p w14:paraId="10462D7D" w14:textId="2F354A5E" w:rsidR="0055325B" w:rsidRPr="00CD6862" w:rsidRDefault="00674D13" w:rsidP="0055325B">
                  <w:pPr>
                    <w:jc w:val="center"/>
                    <w:rPr>
                      <w:rFonts w:eastAsia="Times New Roman"/>
                      <w:color w:val="000000"/>
                    </w:rPr>
                  </w:pPr>
                  <w:r>
                    <w:rPr>
                      <w:rFonts w:eastAsia="Times New Roman"/>
                      <w:color w:val="000000"/>
                    </w:rPr>
                    <w:t>1</w:t>
                  </w:r>
                </w:p>
              </w:tc>
            </w:tr>
            <w:tr w:rsidR="0055325B" w:rsidRPr="00E264CD" w14:paraId="6F7D2865" w14:textId="77777777" w:rsidTr="00CE2A02">
              <w:trPr>
                <w:trHeight w:val="285"/>
              </w:trPr>
              <w:tc>
                <w:tcPr>
                  <w:tcW w:w="1514" w:type="dxa"/>
                  <w:shd w:val="clear" w:color="auto" w:fill="auto"/>
                  <w:noWrap/>
                  <w:vAlign w:val="bottom"/>
                </w:tcPr>
                <w:p w14:paraId="4AAD30B6" w14:textId="2428ED8E" w:rsidR="0055325B" w:rsidRPr="00CD6862" w:rsidRDefault="0055325B" w:rsidP="0055325B">
                  <w:pPr>
                    <w:rPr>
                      <w:rFonts w:eastAsia="Times New Roman"/>
                      <w:color w:val="000000"/>
                    </w:rPr>
                  </w:pPr>
                  <w:r>
                    <w:rPr>
                      <w:rFonts w:eastAsia="Times New Roman"/>
                      <w:color w:val="000000"/>
                    </w:rPr>
                    <w:t>HR_PI</w:t>
                  </w:r>
                </w:p>
              </w:tc>
              <w:tc>
                <w:tcPr>
                  <w:tcW w:w="2080" w:type="dxa"/>
                  <w:shd w:val="clear" w:color="auto" w:fill="auto"/>
                  <w:noWrap/>
                  <w:vAlign w:val="bottom"/>
                </w:tcPr>
                <w:p w14:paraId="71329D4A" w14:textId="3A786788" w:rsidR="0055325B" w:rsidRPr="00CD6862" w:rsidRDefault="0055325B" w:rsidP="0055325B">
                  <w:pPr>
                    <w:rPr>
                      <w:rFonts w:eastAsia="Times New Roman"/>
                      <w:color w:val="000000"/>
                    </w:rPr>
                  </w:pPr>
                  <w:r>
                    <w:rPr>
                      <w:rFonts w:eastAsia="Times New Roman"/>
                      <w:color w:val="000000"/>
                    </w:rPr>
                    <w:t>First clearcut</w:t>
                  </w:r>
                </w:p>
              </w:tc>
              <w:tc>
                <w:tcPr>
                  <w:tcW w:w="1620" w:type="dxa"/>
                  <w:shd w:val="clear" w:color="auto" w:fill="auto"/>
                  <w:noWrap/>
                  <w:vAlign w:val="bottom"/>
                </w:tcPr>
                <w:p w14:paraId="3DC924A8" w14:textId="0F662827" w:rsidR="0055325B" w:rsidRPr="00CD6862" w:rsidRDefault="0055325B" w:rsidP="0055325B">
                  <w:pPr>
                    <w:rPr>
                      <w:rFonts w:eastAsia="Times New Roman"/>
                      <w:color w:val="000000"/>
                    </w:rPr>
                  </w:pPr>
                  <w:r>
                    <w:rPr>
                      <w:rFonts w:eastAsia="Times New Roman"/>
                      <w:color w:val="000000"/>
                    </w:rPr>
                    <w:t>HR_PI grow</w:t>
                  </w:r>
                </w:p>
              </w:tc>
              <w:tc>
                <w:tcPr>
                  <w:tcW w:w="1712" w:type="dxa"/>
                </w:tcPr>
                <w:p w14:paraId="2555EC47" w14:textId="44D1107C" w:rsidR="0055325B" w:rsidRDefault="0055325B" w:rsidP="0055325B">
                  <w:pPr>
                    <w:jc w:val="center"/>
                    <w:rPr>
                      <w:rFonts w:eastAsia="Times New Roman"/>
                      <w:color w:val="000000"/>
                    </w:rPr>
                  </w:pPr>
                  <w:r w:rsidRPr="00F865FA">
                    <w:t>“NPV”, stand “</w:t>
                  </w:r>
                  <w:r>
                    <w:t>HR_PI</w:t>
                  </w:r>
                  <w:r w:rsidRPr="00F865FA">
                    <w:t>”, MgmtID “A001”</w:t>
                  </w:r>
                </w:p>
              </w:tc>
              <w:tc>
                <w:tcPr>
                  <w:tcW w:w="1340" w:type="dxa"/>
                  <w:shd w:val="clear" w:color="auto" w:fill="auto"/>
                  <w:noWrap/>
                  <w:vAlign w:val="bottom"/>
                </w:tcPr>
                <w:p w14:paraId="689015C6" w14:textId="2A72B6F1" w:rsidR="0055325B" w:rsidRPr="00CD6862" w:rsidRDefault="00623AA9" w:rsidP="0055325B">
                  <w:pPr>
                    <w:jc w:val="center"/>
                    <w:rPr>
                      <w:rFonts w:eastAsia="Times New Roman"/>
                      <w:color w:val="000000"/>
                    </w:rPr>
                  </w:pPr>
                  <w:r>
                    <w:rPr>
                      <w:rFonts w:eastAsia="Times New Roman"/>
                      <w:color w:val="000000"/>
                    </w:rPr>
                    <w:t>$1,8</w:t>
                  </w:r>
                  <w:r w:rsidR="00130DE6">
                    <w:rPr>
                      <w:rFonts w:eastAsia="Times New Roman"/>
                      <w:color w:val="000000"/>
                    </w:rPr>
                    <w:t>09</w:t>
                  </w:r>
                </w:p>
              </w:tc>
              <w:tc>
                <w:tcPr>
                  <w:tcW w:w="1560" w:type="dxa"/>
                  <w:shd w:val="clear" w:color="auto" w:fill="auto"/>
                  <w:noWrap/>
                  <w:vAlign w:val="bottom"/>
                </w:tcPr>
                <w:p w14:paraId="7AA03779" w14:textId="0DE0F746" w:rsidR="0055325B" w:rsidRPr="00CD6862" w:rsidRDefault="00674D13" w:rsidP="0055325B">
                  <w:pPr>
                    <w:jc w:val="center"/>
                    <w:rPr>
                      <w:rFonts w:eastAsia="Times New Roman"/>
                      <w:color w:val="000000"/>
                    </w:rPr>
                  </w:pPr>
                  <w:r>
                    <w:rPr>
                      <w:rFonts w:eastAsia="Times New Roman"/>
                      <w:color w:val="000000"/>
                    </w:rPr>
                    <w:t>0</w:t>
                  </w:r>
                </w:p>
              </w:tc>
            </w:tr>
            <w:tr w:rsidR="0055325B" w:rsidRPr="00E264CD" w14:paraId="7638E2B1" w14:textId="77777777" w:rsidTr="00CE2A02">
              <w:trPr>
                <w:trHeight w:val="285"/>
              </w:trPr>
              <w:tc>
                <w:tcPr>
                  <w:tcW w:w="1514" w:type="dxa"/>
                  <w:shd w:val="clear" w:color="auto" w:fill="auto"/>
                  <w:noWrap/>
                  <w:vAlign w:val="bottom"/>
                </w:tcPr>
                <w:p w14:paraId="2F83AC3E" w14:textId="4F90B026" w:rsidR="0055325B" w:rsidRPr="00CD6862" w:rsidRDefault="00C11CC3" w:rsidP="0055325B">
                  <w:pPr>
                    <w:rPr>
                      <w:rFonts w:eastAsia="Times New Roman"/>
                      <w:color w:val="000000"/>
                    </w:rPr>
                  </w:pPr>
                  <w:r>
                    <w:rPr>
                      <w:rFonts w:eastAsia="Times New Roman"/>
                      <w:color w:val="000000"/>
                    </w:rPr>
                    <w:t>HR_RG</w:t>
                  </w:r>
                </w:p>
              </w:tc>
              <w:tc>
                <w:tcPr>
                  <w:tcW w:w="2080" w:type="dxa"/>
                  <w:shd w:val="clear" w:color="auto" w:fill="auto"/>
                  <w:noWrap/>
                  <w:vAlign w:val="bottom"/>
                </w:tcPr>
                <w:p w14:paraId="6973A29C" w14:textId="7B00FACD" w:rsidR="0055325B" w:rsidRPr="00CD6862" w:rsidRDefault="00C11CC3" w:rsidP="0055325B">
                  <w:pPr>
                    <w:rPr>
                      <w:rFonts w:eastAsia="Times New Roman"/>
                      <w:color w:val="000000"/>
                    </w:rPr>
                  </w:pPr>
                  <w:r>
                    <w:rPr>
                      <w:rFonts w:eastAsia="Times New Roman"/>
                      <w:color w:val="000000"/>
                    </w:rPr>
                    <w:t>First clearcut</w:t>
                  </w:r>
                </w:p>
              </w:tc>
              <w:tc>
                <w:tcPr>
                  <w:tcW w:w="1620" w:type="dxa"/>
                  <w:shd w:val="clear" w:color="auto" w:fill="auto"/>
                  <w:noWrap/>
                  <w:vAlign w:val="bottom"/>
                </w:tcPr>
                <w:p w14:paraId="14321D95" w14:textId="6063A36A" w:rsidR="0055325B" w:rsidRPr="00CD6862" w:rsidRDefault="00C11CC3" w:rsidP="0055325B">
                  <w:pPr>
                    <w:rPr>
                      <w:rFonts w:eastAsia="Times New Roman"/>
                      <w:color w:val="000000"/>
                    </w:rPr>
                  </w:pPr>
                  <w:r>
                    <w:rPr>
                      <w:rFonts w:eastAsia="Times New Roman"/>
                      <w:color w:val="000000"/>
                    </w:rPr>
                    <w:t>HR_RG grow</w:t>
                  </w:r>
                </w:p>
              </w:tc>
              <w:tc>
                <w:tcPr>
                  <w:tcW w:w="1712" w:type="dxa"/>
                </w:tcPr>
                <w:p w14:paraId="4197BCEA" w14:textId="3540F26A" w:rsidR="0055325B" w:rsidRDefault="00C11CC3" w:rsidP="0055325B">
                  <w:pPr>
                    <w:jc w:val="center"/>
                    <w:rPr>
                      <w:rFonts w:eastAsia="Times New Roman"/>
                      <w:color w:val="000000"/>
                    </w:rPr>
                  </w:pPr>
                  <w:r w:rsidRPr="00F865FA">
                    <w:t>“NPV”, stand “</w:t>
                  </w:r>
                  <w:r>
                    <w:t>HR_RG</w:t>
                  </w:r>
                  <w:r w:rsidRPr="00F865FA">
                    <w:t>”, MgmtID “A001”</w:t>
                  </w:r>
                </w:p>
              </w:tc>
              <w:tc>
                <w:tcPr>
                  <w:tcW w:w="1340" w:type="dxa"/>
                  <w:shd w:val="clear" w:color="auto" w:fill="auto"/>
                  <w:noWrap/>
                  <w:vAlign w:val="bottom"/>
                </w:tcPr>
                <w:p w14:paraId="61A5879D" w14:textId="0A7AE2FE" w:rsidR="0055325B" w:rsidRPr="00CD6862" w:rsidRDefault="00030D77" w:rsidP="0055325B">
                  <w:pPr>
                    <w:jc w:val="center"/>
                    <w:rPr>
                      <w:rFonts w:eastAsia="Times New Roman"/>
                      <w:color w:val="000000"/>
                    </w:rPr>
                  </w:pPr>
                  <w:r>
                    <w:rPr>
                      <w:rFonts w:eastAsia="Times New Roman"/>
                      <w:color w:val="000000"/>
                    </w:rPr>
                    <w:t>$</w:t>
                  </w:r>
                  <w:r w:rsidR="00130DE6">
                    <w:rPr>
                      <w:rFonts w:eastAsia="Times New Roman"/>
                      <w:color w:val="000000"/>
                    </w:rPr>
                    <w:t>86</w:t>
                  </w:r>
                </w:p>
              </w:tc>
              <w:tc>
                <w:tcPr>
                  <w:tcW w:w="1560" w:type="dxa"/>
                  <w:shd w:val="clear" w:color="auto" w:fill="auto"/>
                  <w:noWrap/>
                  <w:vAlign w:val="bottom"/>
                </w:tcPr>
                <w:p w14:paraId="26506B80" w14:textId="2762E458" w:rsidR="0055325B" w:rsidRPr="00CD6862" w:rsidRDefault="00130DE6" w:rsidP="0055325B">
                  <w:pPr>
                    <w:jc w:val="center"/>
                    <w:rPr>
                      <w:rFonts w:eastAsia="Times New Roman"/>
                      <w:color w:val="000000"/>
                    </w:rPr>
                  </w:pPr>
                  <w:r>
                    <w:rPr>
                      <w:rFonts w:eastAsia="Times New Roman"/>
                      <w:color w:val="000000"/>
                    </w:rPr>
                    <w:t>65</w:t>
                  </w:r>
                </w:p>
              </w:tc>
            </w:tr>
            <w:tr w:rsidR="00030D77" w:rsidRPr="00E264CD" w14:paraId="792952C3" w14:textId="77777777" w:rsidTr="00CE2A02">
              <w:trPr>
                <w:trHeight w:val="285"/>
              </w:trPr>
              <w:tc>
                <w:tcPr>
                  <w:tcW w:w="1514" w:type="dxa"/>
                  <w:shd w:val="clear" w:color="auto" w:fill="auto"/>
                  <w:noWrap/>
                  <w:vAlign w:val="bottom"/>
                </w:tcPr>
                <w:p w14:paraId="7A38476B" w14:textId="50812CC0" w:rsidR="00030D77" w:rsidRDefault="00030D77" w:rsidP="00030D77">
                  <w:pPr>
                    <w:rPr>
                      <w:rFonts w:eastAsia="Times New Roman"/>
                      <w:color w:val="000000"/>
                    </w:rPr>
                  </w:pPr>
                  <w:r>
                    <w:rPr>
                      <w:rFonts w:eastAsia="Times New Roman"/>
                      <w:color w:val="000000"/>
                    </w:rPr>
                    <w:t>CN</w:t>
                  </w:r>
                </w:p>
              </w:tc>
              <w:tc>
                <w:tcPr>
                  <w:tcW w:w="2080" w:type="dxa"/>
                  <w:shd w:val="clear" w:color="auto" w:fill="auto"/>
                  <w:noWrap/>
                  <w:vAlign w:val="bottom"/>
                </w:tcPr>
                <w:p w14:paraId="5C18D98B" w14:textId="612A9AB7" w:rsidR="00030D77" w:rsidRDefault="00030D77" w:rsidP="00030D77">
                  <w:pPr>
                    <w:rPr>
                      <w:rFonts w:eastAsia="Times New Roman"/>
                      <w:color w:val="000000"/>
                    </w:rPr>
                  </w:pPr>
                  <w:r>
                    <w:rPr>
                      <w:rFonts w:eastAsia="Times New Roman"/>
                      <w:color w:val="000000"/>
                    </w:rPr>
                    <w:t>First thinning</w:t>
                  </w:r>
                </w:p>
              </w:tc>
              <w:tc>
                <w:tcPr>
                  <w:tcW w:w="1620" w:type="dxa"/>
                  <w:shd w:val="clear" w:color="auto" w:fill="auto"/>
                  <w:noWrap/>
                  <w:vAlign w:val="bottom"/>
                </w:tcPr>
                <w:p w14:paraId="405E8522" w14:textId="18C903BA" w:rsidR="00030D77" w:rsidRDefault="00030D77" w:rsidP="00030D77">
                  <w:pPr>
                    <w:rPr>
                      <w:rFonts w:eastAsia="Times New Roman"/>
                      <w:color w:val="000000"/>
                    </w:rPr>
                  </w:pPr>
                  <w:r>
                    <w:rPr>
                      <w:rFonts w:eastAsia="Times New Roman"/>
                      <w:color w:val="000000"/>
                    </w:rPr>
                    <w:t>CN SMZ</w:t>
                  </w:r>
                </w:p>
              </w:tc>
              <w:tc>
                <w:tcPr>
                  <w:tcW w:w="1712" w:type="dxa"/>
                </w:tcPr>
                <w:p w14:paraId="052648D0" w14:textId="7C2053C9" w:rsidR="00030D77" w:rsidRDefault="00030D77" w:rsidP="00030D77">
                  <w:pPr>
                    <w:jc w:val="center"/>
                  </w:pPr>
                  <w:r>
                    <w:t>“NPV”, stand “CN”, MgmtID “A001”</w:t>
                  </w:r>
                </w:p>
              </w:tc>
              <w:tc>
                <w:tcPr>
                  <w:tcW w:w="1340" w:type="dxa"/>
                  <w:shd w:val="clear" w:color="auto" w:fill="auto"/>
                  <w:noWrap/>
                  <w:vAlign w:val="bottom"/>
                </w:tcPr>
                <w:p w14:paraId="28C416C6" w14:textId="5A9FCF00" w:rsidR="00030D77" w:rsidRDefault="00623AA9" w:rsidP="00030D77">
                  <w:pPr>
                    <w:jc w:val="center"/>
                    <w:rPr>
                      <w:rFonts w:eastAsia="Times New Roman"/>
                      <w:color w:val="000000"/>
                    </w:rPr>
                  </w:pPr>
                  <w:r>
                    <w:rPr>
                      <w:rFonts w:eastAsia="Times New Roman"/>
                      <w:color w:val="000000"/>
                    </w:rPr>
                    <w:t>$1,</w:t>
                  </w:r>
                  <w:r w:rsidR="005D0A6E">
                    <w:rPr>
                      <w:rFonts w:eastAsia="Times New Roman"/>
                      <w:color w:val="000000"/>
                    </w:rPr>
                    <w:t>296</w:t>
                  </w:r>
                </w:p>
              </w:tc>
              <w:tc>
                <w:tcPr>
                  <w:tcW w:w="1560" w:type="dxa"/>
                  <w:shd w:val="clear" w:color="auto" w:fill="auto"/>
                  <w:noWrap/>
                  <w:vAlign w:val="bottom"/>
                </w:tcPr>
                <w:p w14:paraId="05AA8126" w14:textId="29217F5A" w:rsidR="00030D77" w:rsidRDefault="00F902EB" w:rsidP="00030D77">
                  <w:pPr>
                    <w:jc w:val="center"/>
                    <w:rPr>
                      <w:rFonts w:eastAsia="Times New Roman"/>
                      <w:color w:val="000000"/>
                    </w:rPr>
                  </w:pPr>
                  <w:r>
                    <w:rPr>
                      <w:rFonts w:eastAsia="Times New Roman"/>
                      <w:color w:val="000000"/>
                    </w:rPr>
                    <w:t>0</w:t>
                  </w:r>
                </w:p>
              </w:tc>
            </w:tr>
            <w:tr w:rsidR="00030D77" w:rsidRPr="00E264CD" w14:paraId="2BD1165F" w14:textId="77777777" w:rsidTr="00CE2A02">
              <w:trPr>
                <w:trHeight w:val="285"/>
              </w:trPr>
              <w:tc>
                <w:tcPr>
                  <w:tcW w:w="1514" w:type="dxa"/>
                  <w:shd w:val="clear" w:color="auto" w:fill="auto"/>
                  <w:noWrap/>
                  <w:vAlign w:val="bottom"/>
                </w:tcPr>
                <w:p w14:paraId="7F5D8E4B" w14:textId="069EADF3" w:rsidR="00030D77" w:rsidRPr="00CD6862" w:rsidRDefault="00030D77" w:rsidP="00030D77">
                  <w:pPr>
                    <w:rPr>
                      <w:rFonts w:eastAsia="Times New Roman"/>
                      <w:color w:val="000000"/>
                    </w:rPr>
                  </w:pPr>
                  <w:r>
                    <w:rPr>
                      <w:rFonts w:eastAsia="Times New Roman"/>
                      <w:color w:val="000000"/>
                    </w:rPr>
                    <w:t>CS</w:t>
                  </w:r>
                </w:p>
              </w:tc>
              <w:tc>
                <w:tcPr>
                  <w:tcW w:w="2080" w:type="dxa"/>
                  <w:shd w:val="clear" w:color="auto" w:fill="auto"/>
                  <w:noWrap/>
                  <w:vAlign w:val="bottom"/>
                </w:tcPr>
                <w:p w14:paraId="4328C5F6" w14:textId="5BBABCCF" w:rsidR="00030D77" w:rsidRPr="00CD6862" w:rsidRDefault="00030D77" w:rsidP="00030D77">
                  <w:pPr>
                    <w:rPr>
                      <w:rFonts w:eastAsia="Times New Roman"/>
                      <w:color w:val="000000"/>
                    </w:rPr>
                  </w:pPr>
                  <w:r>
                    <w:rPr>
                      <w:rFonts w:eastAsia="Times New Roman"/>
                      <w:color w:val="000000"/>
                    </w:rPr>
                    <w:t>First thinning</w:t>
                  </w:r>
                </w:p>
              </w:tc>
              <w:tc>
                <w:tcPr>
                  <w:tcW w:w="1620" w:type="dxa"/>
                  <w:shd w:val="clear" w:color="auto" w:fill="auto"/>
                  <w:noWrap/>
                  <w:vAlign w:val="bottom"/>
                </w:tcPr>
                <w:p w14:paraId="0E3F4BCE" w14:textId="196436AC" w:rsidR="00030D77" w:rsidRPr="00CD6862" w:rsidRDefault="00030D77" w:rsidP="00030D77">
                  <w:pPr>
                    <w:rPr>
                      <w:rFonts w:eastAsia="Times New Roman"/>
                      <w:color w:val="000000"/>
                    </w:rPr>
                  </w:pPr>
                  <w:r>
                    <w:rPr>
                      <w:rFonts w:eastAsia="Times New Roman"/>
                      <w:color w:val="000000"/>
                    </w:rPr>
                    <w:t>CS SMZ</w:t>
                  </w:r>
                </w:p>
              </w:tc>
              <w:tc>
                <w:tcPr>
                  <w:tcW w:w="1712" w:type="dxa"/>
                </w:tcPr>
                <w:p w14:paraId="60F28381" w14:textId="7F3B4758" w:rsidR="00030D77" w:rsidRPr="000D5DCB" w:rsidRDefault="00030D77" w:rsidP="00030D77">
                  <w:pPr>
                    <w:jc w:val="center"/>
                  </w:pPr>
                  <w:r w:rsidRPr="00F865FA">
                    <w:t>“NPV”, stand “</w:t>
                  </w:r>
                  <w:r>
                    <w:t>CS</w:t>
                  </w:r>
                  <w:r w:rsidRPr="00F865FA">
                    <w:t>”, MgmtID “A001”</w:t>
                  </w:r>
                </w:p>
              </w:tc>
              <w:tc>
                <w:tcPr>
                  <w:tcW w:w="1340" w:type="dxa"/>
                  <w:shd w:val="clear" w:color="auto" w:fill="auto"/>
                  <w:noWrap/>
                  <w:vAlign w:val="bottom"/>
                </w:tcPr>
                <w:p w14:paraId="2D4BE4B8" w14:textId="3C601D5F" w:rsidR="00030D77" w:rsidRPr="00CD6862" w:rsidRDefault="00623AA9" w:rsidP="00030D77">
                  <w:pPr>
                    <w:jc w:val="center"/>
                    <w:rPr>
                      <w:rFonts w:eastAsia="Times New Roman"/>
                      <w:color w:val="000000"/>
                    </w:rPr>
                  </w:pPr>
                  <w:r>
                    <w:rPr>
                      <w:rFonts w:eastAsia="Times New Roman"/>
                      <w:color w:val="000000"/>
                    </w:rPr>
                    <w:t>$1,107</w:t>
                  </w:r>
                </w:p>
              </w:tc>
              <w:tc>
                <w:tcPr>
                  <w:tcW w:w="1560" w:type="dxa"/>
                  <w:shd w:val="clear" w:color="auto" w:fill="auto"/>
                  <w:noWrap/>
                  <w:vAlign w:val="bottom"/>
                </w:tcPr>
                <w:p w14:paraId="53923A3D" w14:textId="35AC8FBD" w:rsidR="00030D77" w:rsidRPr="00CD6862" w:rsidRDefault="00F902EB" w:rsidP="00030D77">
                  <w:pPr>
                    <w:jc w:val="center"/>
                    <w:rPr>
                      <w:rFonts w:eastAsia="Times New Roman"/>
                      <w:color w:val="000000"/>
                    </w:rPr>
                  </w:pPr>
                  <w:r>
                    <w:rPr>
                      <w:rFonts w:eastAsia="Times New Roman"/>
                      <w:color w:val="000000"/>
                    </w:rPr>
                    <w:t>0</w:t>
                  </w:r>
                </w:p>
              </w:tc>
            </w:tr>
            <w:tr w:rsidR="00030D77" w:rsidRPr="00E264CD" w14:paraId="7E21655F" w14:textId="77777777" w:rsidTr="00CE2A02">
              <w:trPr>
                <w:trHeight w:val="285"/>
              </w:trPr>
              <w:tc>
                <w:tcPr>
                  <w:tcW w:w="1514" w:type="dxa"/>
                  <w:shd w:val="clear" w:color="auto" w:fill="auto"/>
                  <w:noWrap/>
                  <w:vAlign w:val="bottom"/>
                </w:tcPr>
                <w:p w14:paraId="0F53F6AF" w14:textId="108401D8" w:rsidR="00030D77" w:rsidRPr="00CD6862" w:rsidRDefault="00030D77" w:rsidP="00030D77">
                  <w:pPr>
                    <w:rPr>
                      <w:rFonts w:eastAsia="Times New Roman"/>
                      <w:color w:val="000000"/>
                    </w:rPr>
                  </w:pPr>
                  <w:r>
                    <w:rPr>
                      <w:rFonts w:eastAsia="Times New Roman"/>
                      <w:color w:val="000000"/>
                    </w:rPr>
                    <w:t>OR</w:t>
                  </w:r>
                </w:p>
              </w:tc>
              <w:tc>
                <w:tcPr>
                  <w:tcW w:w="2080" w:type="dxa"/>
                  <w:shd w:val="clear" w:color="auto" w:fill="auto"/>
                  <w:noWrap/>
                  <w:vAlign w:val="bottom"/>
                </w:tcPr>
                <w:p w14:paraId="232B4595" w14:textId="617E5029" w:rsidR="00030D77" w:rsidRPr="00CD6862" w:rsidRDefault="00030D77" w:rsidP="00030D77">
                  <w:pPr>
                    <w:rPr>
                      <w:rFonts w:eastAsia="Times New Roman"/>
                      <w:color w:val="000000"/>
                    </w:rPr>
                  </w:pPr>
                  <w:r>
                    <w:rPr>
                      <w:rFonts w:eastAsia="Times New Roman"/>
                      <w:color w:val="000000"/>
                    </w:rPr>
                    <w:t>First thinning</w:t>
                  </w:r>
                </w:p>
              </w:tc>
              <w:tc>
                <w:tcPr>
                  <w:tcW w:w="1620" w:type="dxa"/>
                  <w:shd w:val="clear" w:color="auto" w:fill="auto"/>
                  <w:noWrap/>
                  <w:vAlign w:val="bottom"/>
                </w:tcPr>
                <w:p w14:paraId="4E192CD6" w14:textId="0F1E4624" w:rsidR="00030D77" w:rsidRPr="00CD6862" w:rsidRDefault="00030D77" w:rsidP="00030D77">
                  <w:pPr>
                    <w:rPr>
                      <w:rFonts w:eastAsia="Times New Roman"/>
                      <w:color w:val="000000"/>
                    </w:rPr>
                  </w:pPr>
                  <w:r>
                    <w:rPr>
                      <w:rFonts w:eastAsia="Times New Roman"/>
                      <w:color w:val="000000"/>
                    </w:rPr>
                    <w:t>OR SMZ</w:t>
                  </w:r>
                </w:p>
              </w:tc>
              <w:tc>
                <w:tcPr>
                  <w:tcW w:w="1712" w:type="dxa"/>
                </w:tcPr>
                <w:p w14:paraId="25673E10" w14:textId="202CE897" w:rsidR="00030D77" w:rsidRDefault="00030D77" w:rsidP="00030D77">
                  <w:pPr>
                    <w:jc w:val="center"/>
                    <w:rPr>
                      <w:rFonts w:eastAsia="Times New Roman"/>
                      <w:color w:val="000000"/>
                    </w:rPr>
                  </w:pPr>
                  <w:r w:rsidRPr="00F865FA">
                    <w:t>“NPV”, stand “</w:t>
                  </w:r>
                  <w:r>
                    <w:t>OR</w:t>
                  </w:r>
                  <w:r w:rsidRPr="00F865FA">
                    <w:t>”, MgmtID “A001”</w:t>
                  </w:r>
                </w:p>
              </w:tc>
              <w:tc>
                <w:tcPr>
                  <w:tcW w:w="1340" w:type="dxa"/>
                  <w:shd w:val="clear" w:color="auto" w:fill="auto"/>
                  <w:noWrap/>
                  <w:vAlign w:val="bottom"/>
                </w:tcPr>
                <w:p w14:paraId="36D9E110" w14:textId="1FB5FC38" w:rsidR="00030D77" w:rsidRPr="00CD6862" w:rsidRDefault="00F902EB" w:rsidP="00030D77">
                  <w:pPr>
                    <w:jc w:val="center"/>
                    <w:rPr>
                      <w:rFonts w:eastAsia="Times New Roman"/>
                      <w:color w:val="000000"/>
                    </w:rPr>
                  </w:pPr>
                  <w:r>
                    <w:rPr>
                      <w:rFonts w:eastAsia="Times New Roman"/>
                      <w:color w:val="000000"/>
                    </w:rPr>
                    <w:t>$814</w:t>
                  </w:r>
                </w:p>
              </w:tc>
              <w:tc>
                <w:tcPr>
                  <w:tcW w:w="1560" w:type="dxa"/>
                  <w:shd w:val="clear" w:color="auto" w:fill="auto"/>
                  <w:noWrap/>
                  <w:vAlign w:val="bottom"/>
                </w:tcPr>
                <w:p w14:paraId="5F9BFC0D" w14:textId="7ACFC950" w:rsidR="00030D77" w:rsidRPr="00CD6862" w:rsidRDefault="00F902EB" w:rsidP="00030D77">
                  <w:pPr>
                    <w:jc w:val="center"/>
                    <w:rPr>
                      <w:rFonts w:eastAsia="Times New Roman"/>
                      <w:color w:val="000000"/>
                    </w:rPr>
                  </w:pPr>
                  <w:r>
                    <w:rPr>
                      <w:rFonts w:eastAsia="Times New Roman"/>
                      <w:color w:val="000000"/>
                    </w:rPr>
                    <w:t>0</w:t>
                  </w:r>
                </w:p>
              </w:tc>
            </w:tr>
            <w:tr w:rsidR="00030D77" w:rsidRPr="00E264CD" w14:paraId="1556E018" w14:textId="77777777" w:rsidTr="00CE2A02">
              <w:trPr>
                <w:trHeight w:val="285"/>
              </w:trPr>
              <w:tc>
                <w:tcPr>
                  <w:tcW w:w="1514" w:type="dxa"/>
                  <w:shd w:val="clear" w:color="auto" w:fill="auto"/>
                  <w:noWrap/>
                  <w:vAlign w:val="bottom"/>
                </w:tcPr>
                <w:p w14:paraId="623AE7DE" w14:textId="334788A5" w:rsidR="00030D77" w:rsidRPr="00CD6862" w:rsidRDefault="00030D77" w:rsidP="00030D77">
                  <w:pPr>
                    <w:rPr>
                      <w:rFonts w:eastAsia="Times New Roman"/>
                      <w:color w:val="000000"/>
                    </w:rPr>
                  </w:pPr>
                  <w:r>
                    <w:rPr>
                      <w:rFonts w:eastAsia="Times New Roman"/>
                      <w:color w:val="000000"/>
                    </w:rPr>
                    <w:t>HR_HW</w:t>
                  </w:r>
                </w:p>
              </w:tc>
              <w:tc>
                <w:tcPr>
                  <w:tcW w:w="2080" w:type="dxa"/>
                  <w:shd w:val="clear" w:color="auto" w:fill="auto"/>
                  <w:noWrap/>
                  <w:vAlign w:val="bottom"/>
                </w:tcPr>
                <w:p w14:paraId="08DE2151" w14:textId="33CA42AC" w:rsidR="00030D77" w:rsidRPr="00CD6862" w:rsidRDefault="00030D77" w:rsidP="00030D77">
                  <w:pPr>
                    <w:rPr>
                      <w:rFonts w:eastAsia="Times New Roman"/>
                      <w:color w:val="000000"/>
                    </w:rPr>
                  </w:pPr>
                  <w:r>
                    <w:rPr>
                      <w:rFonts w:eastAsia="Times New Roman"/>
                      <w:color w:val="000000"/>
                    </w:rPr>
                    <w:t>First thinning</w:t>
                  </w:r>
                </w:p>
              </w:tc>
              <w:tc>
                <w:tcPr>
                  <w:tcW w:w="1620" w:type="dxa"/>
                  <w:shd w:val="clear" w:color="auto" w:fill="auto"/>
                  <w:noWrap/>
                  <w:vAlign w:val="bottom"/>
                </w:tcPr>
                <w:p w14:paraId="4CB0E8F5" w14:textId="16B8D955" w:rsidR="00030D77" w:rsidRPr="00CD6862" w:rsidRDefault="00030D77" w:rsidP="00030D77">
                  <w:pPr>
                    <w:rPr>
                      <w:rFonts w:eastAsia="Times New Roman"/>
                      <w:color w:val="000000"/>
                    </w:rPr>
                  </w:pPr>
                  <w:r>
                    <w:rPr>
                      <w:rFonts w:eastAsia="Times New Roman"/>
                      <w:color w:val="000000"/>
                    </w:rPr>
                    <w:t>HR_HW SMZ</w:t>
                  </w:r>
                </w:p>
              </w:tc>
              <w:tc>
                <w:tcPr>
                  <w:tcW w:w="1712" w:type="dxa"/>
                </w:tcPr>
                <w:p w14:paraId="06816729" w14:textId="75E3B8CD" w:rsidR="00030D77" w:rsidRDefault="00030D77" w:rsidP="00030D77">
                  <w:pPr>
                    <w:jc w:val="center"/>
                    <w:rPr>
                      <w:rFonts w:eastAsia="Times New Roman"/>
                      <w:color w:val="000000"/>
                    </w:rPr>
                  </w:pPr>
                  <w:r w:rsidRPr="00F865FA">
                    <w:t>“NPV”, stand “</w:t>
                  </w:r>
                  <w:r>
                    <w:t>HR_HW</w:t>
                  </w:r>
                  <w:r w:rsidRPr="00F865FA">
                    <w:t>”, MgmtID “A001”</w:t>
                  </w:r>
                </w:p>
              </w:tc>
              <w:tc>
                <w:tcPr>
                  <w:tcW w:w="1340" w:type="dxa"/>
                  <w:shd w:val="clear" w:color="auto" w:fill="auto"/>
                  <w:noWrap/>
                  <w:vAlign w:val="bottom"/>
                </w:tcPr>
                <w:p w14:paraId="39E5D240" w14:textId="3FD52232" w:rsidR="00030D77" w:rsidRPr="00CD6862" w:rsidRDefault="002F0412" w:rsidP="00030D77">
                  <w:pPr>
                    <w:jc w:val="center"/>
                    <w:rPr>
                      <w:rFonts w:eastAsia="Times New Roman"/>
                      <w:color w:val="000000"/>
                    </w:rPr>
                  </w:pPr>
                  <w:r>
                    <w:rPr>
                      <w:rFonts w:eastAsia="Times New Roman"/>
                      <w:color w:val="000000"/>
                    </w:rPr>
                    <w:t>$77</w:t>
                  </w:r>
                  <w:r w:rsidR="00130DE6">
                    <w:rPr>
                      <w:rFonts w:eastAsia="Times New Roman"/>
                      <w:color w:val="000000"/>
                    </w:rPr>
                    <w:t>6</w:t>
                  </w:r>
                </w:p>
              </w:tc>
              <w:tc>
                <w:tcPr>
                  <w:tcW w:w="1560" w:type="dxa"/>
                  <w:shd w:val="clear" w:color="auto" w:fill="auto"/>
                  <w:noWrap/>
                  <w:vAlign w:val="bottom"/>
                </w:tcPr>
                <w:p w14:paraId="40BFB386" w14:textId="6E8DA0EB" w:rsidR="00030D77" w:rsidRPr="00CD6862" w:rsidRDefault="00674D13" w:rsidP="00030D77">
                  <w:pPr>
                    <w:jc w:val="center"/>
                    <w:rPr>
                      <w:rFonts w:eastAsia="Times New Roman"/>
                      <w:color w:val="000000"/>
                    </w:rPr>
                  </w:pPr>
                  <w:r>
                    <w:rPr>
                      <w:rFonts w:eastAsia="Times New Roman"/>
                      <w:color w:val="000000"/>
                    </w:rPr>
                    <w:t>1</w:t>
                  </w:r>
                </w:p>
              </w:tc>
            </w:tr>
            <w:tr w:rsidR="00030D77" w:rsidRPr="00E264CD" w14:paraId="71B7660E" w14:textId="77777777" w:rsidTr="00CE2A02">
              <w:trPr>
                <w:trHeight w:val="285"/>
              </w:trPr>
              <w:tc>
                <w:tcPr>
                  <w:tcW w:w="1514" w:type="dxa"/>
                  <w:shd w:val="clear" w:color="auto" w:fill="auto"/>
                  <w:noWrap/>
                  <w:vAlign w:val="bottom"/>
                </w:tcPr>
                <w:p w14:paraId="40DFA5FA" w14:textId="5A51FF3A" w:rsidR="00030D77" w:rsidRPr="00CD6862" w:rsidRDefault="00030D77" w:rsidP="00030D77">
                  <w:pPr>
                    <w:rPr>
                      <w:rFonts w:eastAsia="Times New Roman"/>
                      <w:color w:val="000000"/>
                    </w:rPr>
                  </w:pPr>
                  <w:r>
                    <w:rPr>
                      <w:rFonts w:eastAsia="Times New Roman"/>
                      <w:color w:val="000000"/>
                    </w:rPr>
                    <w:t>HR_PI</w:t>
                  </w:r>
                </w:p>
              </w:tc>
              <w:tc>
                <w:tcPr>
                  <w:tcW w:w="2080" w:type="dxa"/>
                  <w:shd w:val="clear" w:color="auto" w:fill="auto"/>
                  <w:noWrap/>
                  <w:vAlign w:val="bottom"/>
                </w:tcPr>
                <w:p w14:paraId="5EEF3692" w14:textId="66F1FD81" w:rsidR="00030D77" w:rsidRPr="00CD6862" w:rsidRDefault="00030D77" w:rsidP="00030D77">
                  <w:pPr>
                    <w:rPr>
                      <w:rFonts w:eastAsia="Times New Roman"/>
                      <w:color w:val="000000"/>
                    </w:rPr>
                  </w:pPr>
                  <w:r>
                    <w:rPr>
                      <w:rFonts w:eastAsia="Times New Roman"/>
                      <w:color w:val="000000"/>
                    </w:rPr>
                    <w:t>First thinning</w:t>
                  </w:r>
                </w:p>
              </w:tc>
              <w:tc>
                <w:tcPr>
                  <w:tcW w:w="1620" w:type="dxa"/>
                  <w:shd w:val="clear" w:color="auto" w:fill="auto"/>
                  <w:noWrap/>
                  <w:vAlign w:val="bottom"/>
                </w:tcPr>
                <w:p w14:paraId="1A0D5536" w14:textId="45A7B7E0" w:rsidR="00030D77" w:rsidRPr="00CD6862" w:rsidRDefault="00030D77" w:rsidP="00030D77">
                  <w:pPr>
                    <w:rPr>
                      <w:rFonts w:eastAsia="Times New Roman"/>
                      <w:color w:val="000000"/>
                    </w:rPr>
                  </w:pPr>
                  <w:r>
                    <w:rPr>
                      <w:rFonts w:eastAsia="Times New Roman"/>
                      <w:color w:val="000000"/>
                    </w:rPr>
                    <w:t>HR_PI SMZ</w:t>
                  </w:r>
                </w:p>
              </w:tc>
              <w:tc>
                <w:tcPr>
                  <w:tcW w:w="1712" w:type="dxa"/>
                </w:tcPr>
                <w:p w14:paraId="3C96CEF1" w14:textId="3C358968" w:rsidR="00030D77" w:rsidRDefault="00030D77" w:rsidP="00030D77">
                  <w:pPr>
                    <w:jc w:val="center"/>
                    <w:rPr>
                      <w:rFonts w:eastAsia="Times New Roman"/>
                      <w:color w:val="000000"/>
                    </w:rPr>
                  </w:pPr>
                  <w:r w:rsidRPr="00F865FA">
                    <w:t>“NPV”, stand “</w:t>
                  </w:r>
                  <w:r>
                    <w:t>HR_PI</w:t>
                  </w:r>
                  <w:r w:rsidRPr="00F865FA">
                    <w:t>”, MgmtID “A001”</w:t>
                  </w:r>
                </w:p>
              </w:tc>
              <w:tc>
                <w:tcPr>
                  <w:tcW w:w="1340" w:type="dxa"/>
                  <w:shd w:val="clear" w:color="auto" w:fill="auto"/>
                  <w:noWrap/>
                  <w:vAlign w:val="bottom"/>
                </w:tcPr>
                <w:p w14:paraId="0C8AA7C0" w14:textId="4A633F85" w:rsidR="00030D77" w:rsidRPr="00CD6862" w:rsidRDefault="002F0412" w:rsidP="00030D77">
                  <w:pPr>
                    <w:jc w:val="center"/>
                    <w:rPr>
                      <w:rFonts w:eastAsia="Times New Roman"/>
                      <w:color w:val="000000"/>
                    </w:rPr>
                  </w:pPr>
                  <w:r>
                    <w:rPr>
                      <w:rFonts w:eastAsia="Times New Roman"/>
                      <w:color w:val="000000"/>
                    </w:rPr>
                    <w:t>$90</w:t>
                  </w:r>
                  <w:r w:rsidR="00130DE6">
                    <w:rPr>
                      <w:rFonts w:eastAsia="Times New Roman"/>
                      <w:color w:val="000000"/>
                    </w:rPr>
                    <w:t>4</w:t>
                  </w:r>
                </w:p>
              </w:tc>
              <w:tc>
                <w:tcPr>
                  <w:tcW w:w="1560" w:type="dxa"/>
                  <w:shd w:val="clear" w:color="auto" w:fill="auto"/>
                  <w:noWrap/>
                  <w:vAlign w:val="bottom"/>
                </w:tcPr>
                <w:p w14:paraId="3E522DE4" w14:textId="5C88BDBC" w:rsidR="00030D77" w:rsidRPr="00CD6862" w:rsidRDefault="00130DE6" w:rsidP="00030D77">
                  <w:pPr>
                    <w:jc w:val="center"/>
                    <w:rPr>
                      <w:rFonts w:eastAsia="Times New Roman"/>
                    </w:rPr>
                  </w:pPr>
                  <w:r>
                    <w:rPr>
                      <w:rFonts w:eastAsia="Times New Roman"/>
                    </w:rPr>
                    <w:t>0</w:t>
                  </w:r>
                </w:p>
              </w:tc>
            </w:tr>
            <w:tr w:rsidR="00030D77" w:rsidRPr="00E264CD" w14:paraId="17DDDF05" w14:textId="77777777" w:rsidTr="00CE2A02">
              <w:trPr>
                <w:trHeight w:val="285"/>
              </w:trPr>
              <w:tc>
                <w:tcPr>
                  <w:tcW w:w="1514" w:type="dxa"/>
                  <w:shd w:val="clear" w:color="auto" w:fill="auto"/>
                  <w:noWrap/>
                  <w:vAlign w:val="bottom"/>
                </w:tcPr>
                <w:p w14:paraId="6DFC2386" w14:textId="16B93362" w:rsidR="00030D77" w:rsidRDefault="00030D77" w:rsidP="00030D77">
                  <w:pPr>
                    <w:rPr>
                      <w:rFonts w:eastAsia="Times New Roman"/>
                      <w:color w:val="000000"/>
                    </w:rPr>
                  </w:pPr>
                  <w:r>
                    <w:rPr>
                      <w:rFonts w:eastAsia="Times New Roman"/>
                      <w:color w:val="000000"/>
                    </w:rPr>
                    <w:t>HR_RG</w:t>
                  </w:r>
                </w:p>
              </w:tc>
              <w:tc>
                <w:tcPr>
                  <w:tcW w:w="2080" w:type="dxa"/>
                  <w:shd w:val="clear" w:color="auto" w:fill="auto"/>
                  <w:noWrap/>
                  <w:vAlign w:val="bottom"/>
                </w:tcPr>
                <w:p w14:paraId="7CEBC582" w14:textId="0AB8C3C8" w:rsidR="00030D77" w:rsidRDefault="00030D77" w:rsidP="00030D77">
                  <w:pPr>
                    <w:rPr>
                      <w:rFonts w:eastAsia="Times New Roman"/>
                      <w:color w:val="000000"/>
                    </w:rPr>
                  </w:pPr>
                  <w:r>
                    <w:rPr>
                      <w:rFonts w:eastAsia="Times New Roman"/>
                      <w:color w:val="000000"/>
                    </w:rPr>
                    <w:t>First thinning</w:t>
                  </w:r>
                </w:p>
              </w:tc>
              <w:tc>
                <w:tcPr>
                  <w:tcW w:w="1620" w:type="dxa"/>
                  <w:shd w:val="clear" w:color="auto" w:fill="auto"/>
                  <w:noWrap/>
                  <w:vAlign w:val="bottom"/>
                </w:tcPr>
                <w:p w14:paraId="7C0519EA" w14:textId="070EC72C" w:rsidR="00030D77" w:rsidRDefault="00030D77" w:rsidP="00030D77">
                  <w:pPr>
                    <w:rPr>
                      <w:rFonts w:eastAsia="Times New Roman"/>
                      <w:color w:val="000000"/>
                    </w:rPr>
                  </w:pPr>
                  <w:r>
                    <w:rPr>
                      <w:rFonts w:eastAsia="Times New Roman"/>
                      <w:color w:val="000000"/>
                    </w:rPr>
                    <w:t>HR_RG SMZ</w:t>
                  </w:r>
                </w:p>
              </w:tc>
              <w:tc>
                <w:tcPr>
                  <w:tcW w:w="1712" w:type="dxa"/>
                </w:tcPr>
                <w:p w14:paraId="6AC0126D" w14:textId="6CE53B36" w:rsidR="00030D77" w:rsidRDefault="00030D77" w:rsidP="00030D77">
                  <w:pPr>
                    <w:jc w:val="center"/>
                  </w:pPr>
                  <w:r w:rsidRPr="00F865FA">
                    <w:t>“NPV”, stand “</w:t>
                  </w:r>
                  <w:r>
                    <w:t>HR_RG</w:t>
                  </w:r>
                  <w:r w:rsidRPr="00F865FA">
                    <w:t>”, MgmtID “A001”</w:t>
                  </w:r>
                </w:p>
              </w:tc>
              <w:tc>
                <w:tcPr>
                  <w:tcW w:w="1340" w:type="dxa"/>
                  <w:shd w:val="clear" w:color="auto" w:fill="auto"/>
                  <w:noWrap/>
                  <w:vAlign w:val="bottom"/>
                </w:tcPr>
                <w:p w14:paraId="658FD981" w14:textId="04E3CF22" w:rsidR="00030D77" w:rsidRDefault="00F902EB" w:rsidP="00030D77">
                  <w:pPr>
                    <w:jc w:val="center"/>
                    <w:rPr>
                      <w:rFonts w:eastAsia="Times New Roman"/>
                      <w:color w:val="000000"/>
                    </w:rPr>
                  </w:pPr>
                  <w:r>
                    <w:rPr>
                      <w:rFonts w:eastAsia="Times New Roman"/>
                      <w:color w:val="000000"/>
                    </w:rPr>
                    <w:t>$</w:t>
                  </w:r>
                  <w:r w:rsidR="00130DE6">
                    <w:rPr>
                      <w:rFonts w:eastAsia="Times New Roman"/>
                      <w:color w:val="000000"/>
                    </w:rPr>
                    <w:t>43</w:t>
                  </w:r>
                </w:p>
              </w:tc>
              <w:tc>
                <w:tcPr>
                  <w:tcW w:w="1560" w:type="dxa"/>
                  <w:shd w:val="clear" w:color="auto" w:fill="auto"/>
                  <w:noWrap/>
                  <w:vAlign w:val="bottom"/>
                </w:tcPr>
                <w:p w14:paraId="5A981802" w14:textId="328E0C2A" w:rsidR="00030D77" w:rsidRDefault="00130DE6" w:rsidP="00030D77">
                  <w:pPr>
                    <w:jc w:val="center"/>
                    <w:rPr>
                      <w:rFonts w:eastAsia="Times New Roman"/>
                      <w:color w:val="000000"/>
                    </w:rPr>
                  </w:pPr>
                  <w:r>
                    <w:rPr>
                      <w:rFonts w:eastAsia="Times New Roman"/>
                      <w:color w:val="000000"/>
                    </w:rPr>
                    <w:t>65</w:t>
                  </w:r>
                </w:p>
              </w:tc>
            </w:tr>
            <w:tr w:rsidR="0049616C" w:rsidRPr="00E264CD" w14:paraId="0A072467" w14:textId="77777777" w:rsidTr="00CE2A02">
              <w:trPr>
                <w:trHeight w:val="285"/>
              </w:trPr>
              <w:tc>
                <w:tcPr>
                  <w:tcW w:w="1514" w:type="dxa"/>
                  <w:shd w:val="clear" w:color="auto" w:fill="auto"/>
                  <w:noWrap/>
                  <w:vAlign w:val="bottom"/>
                </w:tcPr>
                <w:p w14:paraId="0DF9D640" w14:textId="6D975DFA" w:rsidR="0049616C" w:rsidRDefault="0049616C" w:rsidP="0049616C">
                  <w:pPr>
                    <w:rPr>
                      <w:rFonts w:eastAsia="Times New Roman"/>
                      <w:color w:val="000000"/>
                    </w:rPr>
                  </w:pPr>
                  <w:r>
                    <w:rPr>
                      <w:rFonts w:eastAsia="Times New Roman"/>
                      <w:color w:val="000000"/>
                    </w:rPr>
                    <w:t>CN</w:t>
                  </w:r>
                </w:p>
              </w:tc>
              <w:tc>
                <w:tcPr>
                  <w:tcW w:w="2080" w:type="dxa"/>
                  <w:shd w:val="clear" w:color="auto" w:fill="auto"/>
                  <w:noWrap/>
                  <w:vAlign w:val="bottom"/>
                </w:tcPr>
                <w:p w14:paraId="449D008F" w14:textId="4F55C4B4" w:rsidR="0049616C" w:rsidRDefault="0049616C" w:rsidP="0049616C">
                  <w:pPr>
                    <w:rPr>
                      <w:rFonts w:eastAsia="Times New Roman"/>
                      <w:color w:val="000000"/>
                    </w:rPr>
                  </w:pPr>
                  <w:r>
                    <w:rPr>
                      <w:rFonts w:eastAsia="Times New Roman"/>
                      <w:color w:val="000000"/>
                    </w:rPr>
                    <w:t>Optimal rotation</w:t>
                  </w:r>
                </w:p>
              </w:tc>
              <w:tc>
                <w:tcPr>
                  <w:tcW w:w="1620" w:type="dxa"/>
                  <w:shd w:val="clear" w:color="auto" w:fill="auto"/>
                  <w:noWrap/>
                  <w:vAlign w:val="bottom"/>
                </w:tcPr>
                <w:p w14:paraId="562B4756" w14:textId="2B59CFAC" w:rsidR="0049616C" w:rsidRDefault="0049616C" w:rsidP="0049616C">
                  <w:pPr>
                    <w:rPr>
                      <w:rFonts w:eastAsia="Times New Roman"/>
                      <w:color w:val="000000"/>
                    </w:rPr>
                  </w:pPr>
                  <w:r>
                    <w:rPr>
                      <w:rFonts w:eastAsia="Times New Roman"/>
                      <w:color w:val="000000"/>
                    </w:rPr>
                    <w:t>CN rot</w:t>
                  </w:r>
                </w:p>
              </w:tc>
              <w:tc>
                <w:tcPr>
                  <w:tcW w:w="1712" w:type="dxa"/>
                </w:tcPr>
                <w:p w14:paraId="555CA2D4" w14:textId="733631B7" w:rsidR="0049616C" w:rsidRDefault="0049616C" w:rsidP="0049616C">
                  <w:pPr>
                    <w:jc w:val="center"/>
                  </w:pPr>
                  <w:r>
                    <w:t>“NPV”, stand “CN”, MgmtID “A002”</w:t>
                  </w:r>
                </w:p>
              </w:tc>
              <w:tc>
                <w:tcPr>
                  <w:tcW w:w="1340" w:type="dxa"/>
                  <w:shd w:val="clear" w:color="auto" w:fill="auto"/>
                  <w:noWrap/>
                  <w:vAlign w:val="bottom"/>
                </w:tcPr>
                <w:p w14:paraId="5DDF9121" w14:textId="4D95C5DD" w:rsidR="0049616C" w:rsidRDefault="00901E3D" w:rsidP="0049616C">
                  <w:pPr>
                    <w:jc w:val="center"/>
                    <w:rPr>
                      <w:rFonts w:eastAsia="Times New Roman"/>
                      <w:color w:val="000000"/>
                    </w:rPr>
                  </w:pPr>
                  <w:r>
                    <w:rPr>
                      <w:rFonts w:eastAsia="Times New Roman"/>
                      <w:color w:val="000000"/>
                    </w:rPr>
                    <w:t>$1</w:t>
                  </w:r>
                  <w:r w:rsidR="005D0A6E">
                    <w:rPr>
                      <w:rFonts w:eastAsia="Times New Roman"/>
                      <w:color w:val="000000"/>
                    </w:rPr>
                    <w:t>52</w:t>
                  </w:r>
                </w:p>
              </w:tc>
              <w:tc>
                <w:tcPr>
                  <w:tcW w:w="1560" w:type="dxa"/>
                  <w:shd w:val="clear" w:color="auto" w:fill="auto"/>
                  <w:noWrap/>
                  <w:vAlign w:val="bottom"/>
                </w:tcPr>
                <w:p w14:paraId="64CF9154" w14:textId="481E6575" w:rsidR="0049616C" w:rsidRDefault="005D0A6E" w:rsidP="0049616C">
                  <w:pPr>
                    <w:jc w:val="center"/>
                    <w:rPr>
                      <w:rFonts w:eastAsia="Times New Roman"/>
                      <w:color w:val="000000"/>
                    </w:rPr>
                  </w:pPr>
                  <w:r>
                    <w:rPr>
                      <w:rFonts w:eastAsia="Times New Roman"/>
                      <w:color w:val="000000"/>
                    </w:rPr>
                    <w:t>7</w:t>
                  </w:r>
                  <w:r w:rsidR="00130DE6">
                    <w:rPr>
                      <w:rFonts w:eastAsia="Times New Roman"/>
                      <w:color w:val="000000"/>
                    </w:rPr>
                    <w:t>0</w:t>
                  </w:r>
                </w:p>
              </w:tc>
            </w:tr>
            <w:tr w:rsidR="0049616C" w:rsidRPr="00E264CD" w14:paraId="3E3DA00A" w14:textId="77777777" w:rsidTr="00CE2A02">
              <w:trPr>
                <w:trHeight w:val="285"/>
              </w:trPr>
              <w:tc>
                <w:tcPr>
                  <w:tcW w:w="1514" w:type="dxa"/>
                  <w:shd w:val="clear" w:color="auto" w:fill="auto"/>
                  <w:noWrap/>
                  <w:vAlign w:val="bottom"/>
                </w:tcPr>
                <w:p w14:paraId="372D7ADD" w14:textId="48B4311C" w:rsidR="0049616C" w:rsidRDefault="0049616C" w:rsidP="0049616C">
                  <w:pPr>
                    <w:rPr>
                      <w:rFonts w:eastAsia="Times New Roman"/>
                      <w:color w:val="000000"/>
                    </w:rPr>
                  </w:pPr>
                  <w:r>
                    <w:rPr>
                      <w:rFonts w:eastAsia="Times New Roman"/>
                      <w:color w:val="000000"/>
                    </w:rPr>
                    <w:t>CS</w:t>
                  </w:r>
                </w:p>
              </w:tc>
              <w:tc>
                <w:tcPr>
                  <w:tcW w:w="2080" w:type="dxa"/>
                  <w:shd w:val="clear" w:color="auto" w:fill="auto"/>
                  <w:noWrap/>
                  <w:vAlign w:val="bottom"/>
                </w:tcPr>
                <w:p w14:paraId="66CF4CE5" w14:textId="6FF4F412" w:rsidR="0049616C" w:rsidRDefault="0049616C" w:rsidP="0049616C">
                  <w:pPr>
                    <w:rPr>
                      <w:rFonts w:eastAsia="Times New Roman"/>
                      <w:color w:val="000000"/>
                    </w:rPr>
                  </w:pPr>
                  <w:r>
                    <w:rPr>
                      <w:rFonts w:eastAsia="Times New Roman"/>
                      <w:color w:val="000000"/>
                    </w:rPr>
                    <w:t>Optimal rotation</w:t>
                  </w:r>
                </w:p>
              </w:tc>
              <w:tc>
                <w:tcPr>
                  <w:tcW w:w="1620" w:type="dxa"/>
                  <w:shd w:val="clear" w:color="auto" w:fill="auto"/>
                  <w:noWrap/>
                  <w:vAlign w:val="bottom"/>
                </w:tcPr>
                <w:p w14:paraId="39C5DA83" w14:textId="5453E0C9" w:rsidR="0049616C" w:rsidRDefault="0049616C" w:rsidP="0049616C">
                  <w:pPr>
                    <w:rPr>
                      <w:rFonts w:eastAsia="Times New Roman"/>
                      <w:color w:val="000000"/>
                    </w:rPr>
                  </w:pPr>
                  <w:r>
                    <w:rPr>
                      <w:rFonts w:eastAsia="Times New Roman"/>
                      <w:color w:val="000000"/>
                    </w:rPr>
                    <w:t>CS rot</w:t>
                  </w:r>
                </w:p>
              </w:tc>
              <w:tc>
                <w:tcPr>
                  <w:tcW w:w="1712" w:type="dxa"/>
                </w:tcPr>
                <w:p w14:paraId="765CADF3" w14:textId="43D23DBA" w:rsidR="0049616C" w:rsidRDefault="0049616C" w:rsidP="0049616C">
                  <w:pPr>
                    <w:jc w:val="center"/>
                  </w:pPr>
                  <w:r w:rsidRPr="00F865FA">
                    <w:t>“NPV”, stand “</w:t>
                  </w:r>
                  <w:r>
                    <w:t>CS</w:t>
                  </w:r>
                  <w:r w:rsidRPr="00F865FA">
                    <w:t>”, MgmtID “</w:t>
                  </w:r>
                  <w:r>
                    <w:t>A002</w:t>
                  </w:r>
                  <w:r w:rsidRPr="00F865FA">
                    <w:t>”</w:t>
                  </w:r>
                </w:p>
              </w:tc>
              <w:tc>
                <w:tcPr>
                  <w:tcW w:w="1340" w:type="dxa"/>
                  <w:shd w:val="clear" w:color="auto" w:fill="auto"/>
                  <w:noWrap/>
                  <w:vAlign w:val="bottom"/>
                </w:tcPr>
                <w:p w14:paraId="5C8A45BA" w14:textId="634EC671" w:rsidR="0049616C" w:rsidRDefault="00901E3D" w:rsidP="0049616C">
                  <w:pPr>
                    <w:jc w:val="center"/>
                    <w:rPr>
                      <w:rFonts w:eastAsia="Times New Roman"/>
                      <w:color w:val="000000"/>
                    </w:rPr>
                  </w:pPr>
                  <w:r>
                    <w:rPr>
                      <w:rFonts w:eastAsia="Times New Roman"/>
                      <w:color w:val="000000"/>
                    </w:rPr>
                    <w:t>$2</w:t>
                  </w:r>
                  <w:r w:rsidR="005D0A6E">
                    <w:rPr>
                      <w:rFonts w:eastAsia="Times New Roman"/>
                      <w:color w:val="000000"/>
                    </w:rPr>
                    <w:t>15</w:t>
                  </w:r>
                </w:p>
              </w:tc>
              <w:tc>
                <w:tcPr>
                  <w:tcW w:w="1560" w:type="dxa"/>
                  <w:shd w:val="clear" w:color="auto" w:fill="auto"/>
                  <w:noWrap/>
                  <w:vAlign w:val="bottom"/>
                </w:tcPr>
                <w:p w14:paraId="3FA1D38D" w14:textId="601FBD1B" w:rsidR="0049616C" w:rsidRDefault="005D0A6E" w:rsidP="0049616C">
                  <w:pPr>
                    <w:jc w:val="center"/>
                    <w:rPr>
                      <w:rFonts w:eastAsia="Times New Roman"/>
                      <w:color w:val="000000"/>
                    </w:rPr>
                  </w:pPr>
                  <w:r>
                    <w:rPr>
                      <w:rFonts w:eastAsia="Times New Roman"/>
                      <w:color w:val="000000"/>
                    </w:rPr>
                    <w:t>60</w:t>
                  </w:r>
                </w:p>
              </w:tc>
            </w:tr>
            <w:tr w:rsidR="0049616C" w:rsidRPr="00E264CD" w14:paraId="02A0CC31" w14:textId="77777777" w:rsidTr="00CE2A02">
              <w:trPr>
                <w:trHeight w:val="285"/>
              </w:trPr>
              <w:tc>
                <w:tcPr>
                  <w:tcW w:w="1514" w:type="dxa"/>
                  <w:shd w:val="clear" w:color="auto" w:fill="auto"/>
                  <w:noWrap/>
                  <w:vAlign w:val="bottom"/>
                </w:tcPr>
                <w:p w14:paraId="168A0AD6" w14:textId="4C8771E5" w:rsidR="0049616C" w:rsidRDefault="0049616C" w:rsidP="0049616C">
                  <w:pPr>
                    <w:rPr>
                      <w:rFonts w:eastAsia="Times New Roman"/>
                      <w:color w:val="000000"/>
                    </w:rPr>
                  </w:pPr>
                  <w:r>
                    <w:rPr>
                      <w:rFonts w:eastAsia="Times New Roman"/>
                      <w:color w:val="000000"/>
                    </w:rPr>
                    <w:t>OR</w:t>
                  </w:r>
                </w:p>
              </w:tc>
              <w:tc>
                <w:tcPr>
                  <w:tcW w:w="2080" w:type="dxa"/>
                  <w:shd w:val="clear" w:color="auto" w:fill="auto"/>
                  <w:noWrap/>
                  <w:vAlign w:val="bottom"/>
                </w:tcPr>
                <w:p w14:paraId="48CE7228" w14:textId="4864D874" w:rsidR="0049616C" w:rsidRDefault="0049616C" w:rsidP="0049616C">
                  <w:pPr>
                    <w:rPr>
                      <w:rFonts w:eastAsia="Times New Roman"/>
                      <w:color w:val="000000"/>
                    </w:rPr>
                  </w:pPr>
                  <w:r>
                    <w:rPr>
                      <w:rFonts w:eastAsia="Times New Roman"/>
                      <w:color w:val="000000"/>
                    </w:rPr>
                    <w:t>Optimal rotation</w:t>
                  </w:r>
                </w:p>
              </w:tc>
              <w:tc>
                <w:tcPr>
                  <w:tcW w:w="1620" w:type="dxa"/>
                  <w:shd w:val="clear" w:color="auto" w:fill="auto"/>
                  <w:noWrap/>
                  <w:vAlign w:val="bottom"/>
                </w:tcPr>
                <w:p w14:paraId="32FE4E23" w14:textId="2593632D" w:rsidR="0049616C" w:rsidRDefault="0049616C" w:rsidP="0049616C">
                  <w:pPr>
                    <w:rPr>
                      <w:rFonts w:eastAsia="Times New Roman"/>
                      <w:color w:val="000000"/>
                    </w:rPr>
                  </w:pPr>
                  <w:r>
                    <w:rPr>
                      <w:rFonts w:eastAsia="Times New Roman"/>
                      <w:color w:val="000000"/>
                    </w:rPr>
                    <w:t>OR rot</w:t>
                  </w:r>
                </w:p>
              </w:tc>
              <w:tc>
                <w:tcPr>
                  <w:tcW w:w="1712" w:type="dxa"/>
                </w:tcPr>
                <w:p w14:paraId="610853E1" w14:textId="05CE3DB3" w:rsidR="0049616C" w:rsidRDefault="0049616C" w:rsidP="0049616C">
                  <w:pPr>
                    <w:jc w:val="center"/>
                  </w:pPr>
                  <w:r w:rsidRPr="00F865FA">
                    <w:t>“NPV”, stand “</w:t>
                  </w:r>
                  <w:r>
                    <w:t>OR</w:t>
                  </w:r>
                  <w:r w:rsidRPr="00F865FA">
                    <w:t>”, MgmtID “</w:t>
                  </w:r>
                  <w:r>
                    <w:t>A002</w:t>
                  </w:r>
                  <w:r w:rsidRPr="00F865FA">
                    <w:t>”</w:t>
                  </w:r>
                </w:p>
              </w:tc>
              <w:tc>
                <w:tcPr>
                  <w:tcW w:w="1340" w:type="dxa"/>
                  <w:shd w:val="clear" w:color="auto" w:fill="auto"/>
                  <w:noWrap/>
                  <w:vAlign w:val="bottom"/>
                </w:tcPr>
                <w:p w14:paraId="1786BD4D" w14:textId="61B1CED0" w:rsidR="0049616C" w:rsidRDefault="00901E3D" w:rsidP="0049616C">
                  <w:pPr>
                    <w:jc w:val="center"/>
                    <w:rPr>
                      <w:rFonts w:eastAsia="Times New Roman"/>
                      <w:color w:val="000000"/>
                    </w:rPr>
                  </w:pPr>
                  <w:r>
                    <w:rPr>
                      <w:rFonts w:eastAsia="Times New Roman"/>
                      <w:color w:val="000000"/>
                    </w:rPr>
                    <w:t>$</w:t>
                  </w:r>
                  <w:r w:rsidR="00130DE6">
                    <w:rPr>
                      <w:rFonts w:eastAsia="Times New Roman"/>
                      <w:color w:val="000000"/>
                    </w:rPr>
                    <w:t>20</w:t>
                  </w:r>
                  <w:r w:rsidR="005D0A6E">
                    <w:rPr>
                      <w:rFonts w:eastAsia="Times New Roman"/>
                      <w:color w:val="000000"/>
                    </w:rPr>
                    <w:t>9</w:t>
                  </w:r>
                </w:p>
              </w:tc>
              <w:tc>
                <w:tcPr>
                  <w:tcW w:w="1560" w:type="dxa"/>
                  <w:shd w:val="clear" w:color="auto" w:fill="auto"/>
                  <w:noWrap/>
                  <w:vAlign w:val="bottom"/>
                </w:tcPr>
                <w:p w14:paraId="2718EF4B" w14:textId="31742E77" w:rsidR="0049616C" w:rsidRDefault="00901E3D" w:rsidP="0049616C">
                  <w:pPr>
                    <w:jc w:val="center"/>
                    <w:rPr>
                      <w:rFonts w:eastAsia="Times New Roman"/>
                      <w:color w:val="000000"/>
                    </w:rPr>
                  </w:pPr>
                  <w:r>
                    <w:rPr>
                      <w:rFonts w:eastAsia="Times New Roman"/>
                      <w:color w:val="000000"/>
                    </w:rPr>
                    <w:t>5</w:t>
                  </w:r>
                  <w:r w:rsidR="005D0A6E">
                    <w:rPr>
                      <w:rFonts w:eastAsia="Times New Roman"/>
                      <w:color w:val="000000"/>
                    </w:rPr>
                    <w:t>3</w:t>
                  </w:r>
                </w:p>
              </w:tc>
            </w:tr>
            <w:tr w:rsidR="0049616C" w:rsidRPr="00E264CD" w14:paraId="609270A0" w14:textId="77777777" w:rsidTr="00CE2A02">
              <w:trPr>
                <w:trHeight w:val="285"/>
              </w:trPr>
              <w:tc>
                <w:tcPr>
                  <w:tcW w:w="1514" w:type="dxa"/>
                  <w:shd w:val="clear" w:color="auto" w:fill="auto"/>
                  <w:noWrap/>
                  <w:vAlign w:val="bottom"/>
                </w:tcPr>
                <w:p w14:paraId="1E83F2CC" w14:textId="096A691F" w:rsidR="0049616C" w:rsidRDefault="0049616C" w:rsidP="0049616C">
                  <w:pPr>
                    <w:rPr>
                      <w:rFonts w:eastAsia="Times New Roman"/>
                      <w:color w:val="000000"/>
                    </w:rPr>
                  </w:pPr>
                  <w:r>
                    <w:rPr>
                      <w:rFonts w:eastAsia="Times New Roman"/>
                      <w:color w:val="000000"/>
                    </w:rPr>
                    <w:t>HR_HW</w:t>
                  </w:r>
                </w:p>
              </w:tc>
              <w:tc>
                <w:tcPr>
                  <w:tcW w:w="2080" w:type="dxa"/>
                  <w:shd w:val="clear" w:color="auto" w:fill="auto"/>
                  <w:noWrap/>
                  <w:vAlign w:val="bottom"/>
                </w:tcPr>
                <w:p w14:paraId="47063162" w14:textId="1D8AAAF5" w:rsidR="0049616C" w:rsidRDefault="0049616C" w:rsidP="0049616C">
                  <w:pPr>
                    <w:rPr>
                      <w:rFonts w:eastAsia="Times New Roman"/>
                      <w:color w:val="000000"/>
                    </w:rPr>
                  </w:pPr>
                  <w:r>
                    <w:rPr>
                      <w:rFonts w:eastAsia="Times New Roman"/>
                      <w:color w:val="000000"/>
                    </w:rPr>
                    <w:t>Optimal rotation</w:t>
                  </w:r>
                </w:p>
              </w:tc>
              <w:tc>
                <w:tcPr>
                  <w:tcW w:w="1620" w:type="dxa"/>
                  <w:shd w:val="clear" w:color="auto" w:fill="auto"/>
                  <w:noWrap/>
                  <w:vAlign w:val="bottom"/>
                </w:tcPr>
                <w:p w14:paraId="53A15C0F" w14:textId="58F5D345" w:rsidR="0049616C" w:rsidRDefault="0049616C" w:rsidP="0049616C">
                  <w:pPr>
                    <w:rPr>
                      <w:rFonts w:eastAsia="Times New Roman"/>
                      <w:color w:val="000000"/>
                    </w:rPr>
                  </w:pPr>
                  <w:r>
                    <w:rPr>
                      <w:rFonts w:eastAsia="Times New Roman"/>
                      <w:color w:val="000000"/>
                    </w:rPr>
                    <w:t>HR_HW rot</w:t>
                  </w:r>
                </w:p>
              </w:tc>
              <w:tc>
                <w:tcPr>
                  <w:tcW w:w="1712" w:type="dxa"/>
                </w:tcPr>
                <w:p w14:paraId="70559505" w14:textId="53616D98" w:rsidR="0049616C" w:rsidRDefault="0049616C" w:rsidP="0049616C">
                  <w:pPr>
                    <w:jc w:val="center"/>
                  </w:pPr>
                  <w:r w:rsidRPr="00F865FA">
                    <w:t>“NPV”, stand “</w:t>
                  </w:r>
                  <w:r>
                    <w:t>HR_HW</w:t>
                  </w:r>
                  <w:r w:rsidRPr="00F865FA">
                    <w:t>”, MgmtID “</w:t>
                  </w:r>
                  <w:r>
                    <w:t>A002</w:t>
                  </w:r>
                  <w:r w:rsidRPr="00F865FA">
                    <w:t>”</w:t>
                  </w:r>
                </w:p>
              </w:tc>
              <w:tc>
                <w:tcPr>
                  <w:tcW w:w="1340" w:type="dxa"/>
                  <w:shd w:val="clear" w:color="auto" w:fill="auto"/>
                  <w:noWrap/>
                  <w:vAlign w:val="bottom"/>
                </w:tcPr>
                <w:p w14:paraId="1E42DE66" w14:textId="51276777" w:rsidR="0049616C" w:rsidRDefault="00901E3D" w:rsidP="0049616C">
                  <w:pPr>
                    <w:jc w:val="center"/>
                    <w:rPr>
                      <w:rFonts w:eastAsia="Times New Roman"/>
                      <w:color w:val="000000"/>
                    </w:rPr>
                  </w:pPr>
                  <w:r>
                    <w:rPr>
                      <w:rFonts w:eastAsia="Times New Roman"/>
                      <w:color w:val="000000"/>
                    </w:rPr>
                    <w:t>$</w:t>
                  </w:r>
                  <w:r w:rsidR="00130DE6">
                    <w:rPr>
                      <w:rFonts w:eastAsia="Times New Roman"/>
                      <w:color w:val="000000"/>
                    </w:rPr>
                    <w:t>230</w:t>
                  </w:r>
                </w:p>
              </w:tc>
              <w:tc>
                <w:tcPr>
                  <w:tcW w:w="1560" w:type="dxa"/>
                  <w:shd w:val="clear" w:color="auto" w:fill="auto"/>
                  <w:noWrap/>
                  <w:vAlign w:val="bottom"/>
                </w:tcPr>
                <w:p w14:paraId="065AB305" w14:textId="6FB93112" w:rsidR="0049616C" w:rsidRDefault="00901E3D" w:rsidP="0049616C">
                  <w:pPr>
                    <w:jc w:val="center"/>
                    <w:rPr>
                      <w:rFonts w:eastAsia="Times New Roman"/>
                      <w:color w:val="000000"/>
                    </w:rPr>
                  </w:pPr>
                  <w:r>
                    <w:rPr>
                      <w:rFonts w:eastAsia="Times New Roman"/>
                      <w:color w:val="000000"/>
                    </w:rPr>
                    <w:t>5</w:t>
                  </w:r>
                  <w:r w:rsidR="00130DE6">
                    <w:rPr>
                      <w:rFonts w:eastAsia="Times New Roman"/>
                      <w:color w:val="000000"/>
                    </w:rPr>
                    <w:t>0</w:t>
                  </w:r>
                </w:p>
              </w:tc>
            </w:tr>
            <w:tr w:rsidR="0049616C" w:rsidRPr="00E264CD" w14:paraId="01235E47" w14:textId="77777777" w:rsidTr="00CE2A02">
              <w:trPr>
                <w:trHeight w:val="285"/>
              </w:trPr>
              <w:tc>
                <w:tcPr>
                  <w:tcW w:w="1514" w:type="dxa"/>
                  <w:shd w:val="clear" w:color="auto" w:fill="auto"/>
                  <w:noWrap/>
                  <w:vAlign w:val="bottom"/>
                </w:tcPr>
                <w:p w14:paraId="692EF465" w14:textId="112AC009" w:rsidR="0049616C" w:rsidRDefault="0049616C" w:rsidP="0049616C">
                  <w:pPr>
                    <w:rPr>
                      <w:rFonts w:eastAsia="Times New Roman"/>
                      <w:color w:val="000000"/>
                    </w:rPr>
                  </w:pPr>
                  <w:r>
                    <w:rPr>
                      <w:rFonts w:eastAsia="Times New Roman"/>
                      <w:color w:val="000000"/>
                    </w:rPr>
                    <w:t>HR_PI</w:t>
                  </w:r>
                </w:p>
              </w:tc>
              <w:tc>
                <w:tcPr>
                  <w:tcW w:w="2080" w:type="dxa"/>
                  <w:shd w:val="clear" w:color="auto" w:fill="auto"/>
                  <w:noWrap/>
                  <w:vAlign w:val="bottom"/>
                </w:tcPr>
                <w:p w14:paraId="4962A83F" w14:textId="1783B2DD" w:rsidR="0049616C" w:rsidRDefault="0049616C" w:rsidP="0049616C">
                  <w:pPr>
                    <w:rPr>
                      <w:rFonts w:eastAsia="Times New Roman"/>
                      <w:color w:val="000000"/>
                    </w:rPr>
                  </w:pPr>
                  <w:r>
                    <w:rPr>
                      <w:rFonts w:eastAsia="Times New Roman"/>
                      <w:color w:val="000000"/>
                    </w:rPr>
                    <w:t>Optimal rotation</w:t>
                  </w:r>
                </w:p>
              </w:tc>
              <w:tc>
                <w:tcPr>
                  <w:tcW w:w="1620" w:type="dxa"/>
                  <w:shd w:val="clear" w:color="auto" w:fill="auto"/>
                  <w:noWrap/>
                  <w:vAlign w:val="bottom"/>
                </w:tcPr>
                <w:p w14:paraId="68DD65C1" w14:textId="30B184A7" w:rsidR="0049616C" w:rsidRDefault="0049616C" w:rsidP="0049616C">
                  <w:pPr>
                    <w:rPr>
                      <w:rFonts w:eastAsia="Times New Roman"/>
                      <w:color w:val="000000"/>
                    </w:rPr>
                  </w:pPr>
                  <w:r>
                    <w:rPr>
                      <w:rFonts w:eastAsia="Times New Roman"/>
                      <w:color w:val="000000"/>
                    </w:rPr>
                    <w:t>HR_PI rot</w:t>
                  </w:r>
                </w:p>
              </w:tc>
              <w:tc>
                <w:tcPr>
                  <w:tcW w:w="1712" w:type="dxa"/>
                </w:tcPr>
                <w:p w14:paraId="10959A66" w14:textId="0540A60C" w:rsidR="0049616C" w:rsidRDefault="0049616C" w:rsidP="0049616C">
                  <w:pPr>
                    <w:jc w:val="center"/>
                  </w:pPr>
                  <w:r w:rsidRPr="00F865FA">
                    <w:t>“NPV”, stand “</w:t>
                  </w:r>
                  <w:r>
                    <w:t>HR_PI</w:t>
                  </w:r>
                  <w:r w:rsidRPr="00F865FA">
                    <w:t>”, MgmtID “</w:t>
                  </w:r>
                  <w:r>
                    <w:t>A002</w:t>
                  </w:r>
                  <w:r w:rsidRPr="00F865FA">
                    <w:t>”</w:t>
                  </w:r>
                </w:p>
              </w:tc>
              <w:tc>
                <w:tcPr>
                  <w:tcW w:w="1340" w:type="dxa"/>
                  <w:shd w:val="clear" w:color="auto" w:fill="auto"/>
                  <w:noWrap/>
                  <w:vAlign w:val="bottom"/>
                </w:tcPr>
                <w:p w14:paraId="5650E324" w14:textId="42484B84" w:rsidR="0049616C" w:rsidRDefault="00901E3D" w:rsidP="0049616C">
                  <w:pPr>
                    <w:jc w:val="center"/>
                    <w:rPr>
                      <w:rFonts w:eastAsia="Times New Roman"/>
                      <w:color w:val="000000"/>
                    </w:rPr>
                  </w:pPr>
                  <w:r>
                    <w:rPr>
                      <w:rFonts w:eastAsia="Times New Roman"/>
                      <w:color w:val="000000"/>
                    </w:rPr>
                    <w:t>$2</w:t>
                  </w:r>
                  <w:r w:rsidR="005D0A6E">
                    <w:rPr>
                      <w:rFonts w:eastAsia="Times New Roman"/>
                      <w:color w:val="000000"/>
                    </w:rPr>
                    <w:t>24</w:t>
                  </w:r>
                </w:p>
              </w:tc>
              <w:tc>
                <w:tcPr>
                  <w:tcW w:w="1560" w:type="dxa"/>
                  <w:shd w:val="clear" w:color="auto" w:fill="auto"/>
                  <w:noWrap/>
                  <w:vAlign w:val="bottom"/>
                </w:tcPr>
                <w:p w14:paraId="7826BCBC" w14:textId="2C588591" w:rsidR="0049616C" w:rsidRDefault="00130DE6" w:rsidP="0049616C">
                  <w:pPr>
                    <w:jc w:val="center"/>
                    <w:rPr>
                      <w:rFonts w:eastAsia="Times New Roman"/>
                      <w:color w:val="000000"/>
                    </w:rPr>
                  </w:pPr>
                  <w:r>
                    <w:rPr>
                      <w:rFonts w:eastAsia="Times New Roman"/>
                      <w:color w:val="000000"/>
                    </w:rPr>
                    <w:t>4</w:t>
                  </w:r>
                  <w:r w:rsidR="005D0A6E">
                    <w:rPr>
                      <w:rFonts w:eastAsia="Times New Roman"/>
                      <w:color w:val="000000"/>
                    </w:rPr>
                    <w:t>3</w:t>
                  </w:r>
                </w:p>
              </w:tc>
            </w:tr>
          </w:tbl>
          <w:p w14:paraId="5ADACD0C" w14:textId="77777777" w:rsidR="00EE0CC6" w:rsidRDefault="00EE0CC6" w:rsidP="00A16F26"/>
          <w:p w14:paraId="7B7371AE" w14:textId="30EE2C48" w:rsidR="007344DF" w:rsidRDefault="007344DF" w:rsidP="00A16F26">
            <w:r>
              <w:t>Note that n</w:t>
            </w:r>
            <w:r w:rsidRPr="00AC7A1A">
              <w:t xml:space="preserve">one </w:t>
            </w:r>
            <w:r>
              <w:t>of the post-clearcut scenarios justifies a repeat cut within the first 20-</w:t>
            </w:r>
            <w:r w:rsidRPr="00AC7A1A">
              <w:t>year crediting period.</w:t>
            </w:r>
            <w:r>
              <w:t xml:space="preserve"> The management regimes derived from the above analysis and applied in the 20-year baseline scenario include </w:t>
            </w:r>
            <w:r w:rsidR="00176828">
              <w:t xml:space="preserve">initial </w:t>
            </w:r>
            <w:r>
              <w:t>clearcuts.</w:t>
            </w:r>
            <w:r w:rsidR="00176828">
              <w:t xml:space="preserve"> SMZs are </w:t>
            </w:r>
            <w:r w:rsidR="004C228A">
              <w:t>left untouched.</w:t>
            </w:r>
            <w:r w:rsidR="0023667B">
              <w:t xml:space="preserve"> No cuts are justified in the 20-y</w:t>
            </w:r>
            <w:r w:rsidR="00461296">
              <w:t>ear baseline scenario in the HR_</w:t>
            </w:r>
            <w:r w:rsidR="0023667B">
              <w:t>RG stratum.</w:t>
            </w:r>
          </w:p>
          <w:p w14:paraId="79D5C708" w14:textId="66CE20AB" w:rsidR="00A25906" w:rsidRPr="00AC7A1A" w:rsidRDefault="00A25906" w:rsidP="00A16F26">
            <w:r>
              <w:t>Clearcuts are a recommended even-aged management practice per University of Tennessee Agricultural Extension Service “Forest Practice Guidelines for Tennessee” (UT Agricultural Extension publication PB1523).</w:t>
            </w:r>
          </w:p>
          <w:p w14:paraId="16DD170D" w14:textId="689E406C" w:rsidR="007344DF" w:rsidRDefault="008D4EDB" w:rsidP="00A16F26">
            <w:r>
              <w:t>T</w:t>
            </w:r>
            <w:r w:rsidR="00595834">
              <w:t xml:space="preserve">he timetable </w:t>
            </w:r>
            <w:r w:rsidR="0023667B">
              <w:t xml:space="preserve">of harvests was staggered over </w:t>
            </w:r>
            <w:r w:rsidR="004C228A">
              <w:t>1</w:t>
            </w:r>
            <w:r w:rsidR="00461296">
              <w:t xml:space="preserve">5 </w:t>
            </w:r>
            <w:r w:rsidR="00595834">
              <w:t>years.</w:t>
            </w:r>
            <w:r w:rsidR="002B430F" w:rsidRPr="00D306D5">
              <w:rPr>
                <w:b/>
                <w:bCs/>
              </w:rPr>
              <w:t xml:space="preserve"> </w:t>
            </w:r>
          </w:p>
          <w:p w14:paraId="3FB7E767" w14:textId="77777777" w:rsidR="00595834" w:rsidRDefault="00595834" w:rsidP="00A16F26"/>
          <w:p w14:paraId="3ACA047F" w14:textId="44180760" w:rsidR="007344DF" w:rsidRPr="006521F2" w:rsidRDefault="007344DF" w:rsidP="00A16F26">
            <w:pPr>
              <w:rPr>
                <w:i/>
              </w:rPr>
            </w:pPr>
            <w:r w:rsidRPr="006521F2">
              <w:rPr>
                <w:i/>
              </w:rPr>
              <w:t>Legal constraints</w:t>
            </w:r>
          </w:p>
          <w:p w14:paraId="06399302" w14:textId="6F0C1778" w:rsidR="00F25095" w:rsidRDefault="00F25095" w:rsidP="00F25095">
            <w:r>
              <w:t xml:space="preserve">There are no state or federal regulatory restrictions on forest management that apply to the project area. </w:t>
            </w:r>
            <w:r w:rsidR="00861EF8">
              <w:t xml:space="preserve">The baseline goes over and above </w:t>
            </w:r>
            <w:r>
              <w:t>voluntary Tennessee BMP</w:t>
            </w:r>
            <w:r w:rsidR="007A37A6">
              <w:t xml:space="preserve"> </w:t>
            </w:r>
            <w:r>
              <w:t>restrictions around Streamside Management Zones</w:t>
            </w:r>
            <w:r w:rsidR="00861EF8">
              <w:t>, assuming no harvest in these areas</w:t>
            </w:r>
            <w:r>
              <w:t>.</w:t>
            </w:r>
          </w:p>
          <w:p w14:paraId="41D89C22" w14:textId="21F1F1FF" w:rsidR="007344DF" w:rsidRPr="00E54232" w:rsidRDefault="007344DF" w:rsidP="00A16F26">
            <w:r w:rsidRPr="00471BEE">
              <w:rPr>
                <w:b/>
                <w:i/>
              </w:rPr>
              <w:t>Baseline management scenarios</w:t>
            </w:r>
            <w:r w:rsidR="00AB61E0" w:rsidRPr="00471BEE">
              <w:rPr>
                <w:b/>
                <w:i/>
              </w:rPr>
              <w:t xml:space="preserve"> </w:t>
            </w:r>
            <w:r w:rsidR="007D6A16" w:rsidRPr="00471BEE">
              <w:rPr>
                <w:i/>
              </w:rPr>
              <w:t>(</w:t>
            </w:r>
            <w:r w:rsidR="00471BEE">
              <w:rPr>
                <w:i/>
              </w:rPr>
              <w:t>Stand</w:t>
            </w:r>
            <w:r w:rsidR="00AB61E0" w:rsidRPr="00471BEE">
              <w:rPr>
                <w:i/>
              </w:rPr>
              <w:t xml:space="preserve">ID </w:t>
            </w:r>
            <w:r w:rsidR="00471BEE">
              <w:rPr>
                <w:i/>
              </w:rPr>
              <w:t xml:space="preserve">corresponds to models runs in </w:t>
            </w:r>
            <w:r w:rsidR="00AB61E0" w:rsidRPr="00471BEE">
              <w:rPr>
                <w:i/>
              </w:rPr>
              <w:t>“</w:t>
            </w:r>
            <w:r w:rsidR="00471BEE" w:rsidRPr="00471BEE">
              <w:rPr>
                <w:i/>
              </w:rPr>
              <w:t>UTK FVS BSL</w:t>
            </w:r>
            <w:r w:rsidR="00861EF8">
              <w:rPr>
                <w:i/>
              </w:rPr>
              <w:t xml:space="preserve"> REV</w:t>
            </w:r>
            <w:r w:rsidR="00471BEE" w:rsidRPr="00471BEE">
              <w:rPr>
                <w:i/>
              </w:rPr>
              <w:t xml:space="preserve"> </w:t>
            </w:r>
            <w:r w:rsidR="00861EF8">
              <w:rPr>
                <w:i/>
              </w:rPr>
              <w:t>Stand C</w:t>
            </w:r>
            <w:r w:rsidR="00F2281B">
              <w:rPr>
                <w:i/>
              </w:rPr>
              <w:t>*</w:t>
            </w:r>
            <w:r w:rsidR="00AB61E0" w:rsidRPr="00471BEE">
              <w:rPr>
                <w:i/>
              </w:rPr>
              <w:t>.xls</w:t>
            </w:r>
            <w:r w:rsidR="00861EF8" w:rsidRPr="009C2559">
              <w:rPr>
                <w:i/>
              </w:rPr>
              <w:t>”</w:t>
            </w:r>
            <w:r w:rsidR="00861EF8">
              <w:rPr>
                <w:i/>
              </w:rPr>
              <w:t xml:space="preserve"> and </w:t>
            </w:r>
            <w:r w:rsidR="00E54232" w:rsidRPr="00471BEE">
              <w:rPr>
                <w:i/>
              </w:rPr>
              <w:t>“UTK FVS BSL</w:t>
            </w:r>
            <w:r w:rsidR="00861EF8">
              <w:rPr>
                <w:i/>
              </w:rPr>
              <w:t xml:space="preserve"> REV</w:t>
            </w:r>
            <w:r w:rsidR="00E54232" w:rsidRPr="00471BEE">
              <w:rPr>
                <w:i/>
              </w:rPr>
              <w:t xml:space="preserve"> </w:t>
            </w:r>
            <w:r w:rsidR="00E54232">
              <w:rPr>
                <w:i/>
              </w:rPr>
              <w:t>Cutlist</w:t>
            </w:r>
            <w:r w:rsidR="00E54232" w:rsidRPr="00471BEE">
              <w:rPr>
                <w:i/>
              </w:rPr>
              <w:t xml:space="preserve"> </w:t>
            </w:r>
            <w:r w:rsidR="00F2281B">
              <w:rPr>
                <w:i/>
              </w:rPr>
              <w:t>*</w:t>
            </w:r>
            <w:r w:rsidR="00E54232" w:rsidRPr="00471BEE">
              <w:rPr>
                <w:i/>
              </w:rPr>
              <w:t>.xls</w:t>
            </w:r>
            <w:r w:rsidR="00E54232" w:rsidRPr="009C2559">
              <w:rPr>
                <w:i/>
              </w:rPr>
              <w:t>”</w:t>
            </w:r>
            <w:r w:rsidR="00F83E96">
              <w:rPr>
                <w:i/>
              </w:rPr>
              <w:t>. Unharvested strata are modeled from projections in “</w:t>
            </w:r>
            <w:r w:rsidR="00F83E96" w:rsidRPr="00F83E96">
              <w:rPr>
                <w:i/>
              </w:rPr>
              <w:t>wp live tree proj UT_revDec2020</w:t>
            </w:r>
            <w:r w:rsidR="00F83E96">
              <w:rPr>
                <w:i/>
              </w:rPr>
              <w:t>”</w:t>
            </w:r>
            <w:r w:rsidR="00E54232">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2"/>
              <w:gridCol w:w="7094"/>
            </w:tblGrid>
            <w:tr w:rsidR="00406E9E" w:rsidRPr="00471BEE" w14:paraId="6C15ABC1" w14:textId="77777777" w:rsidTr="00406E9E">
              <w:trPr>
                <w:trHeight w:val="298"/>
              </w:trPr>
              <w:tc>
                <w:tcPr>
                  <w:tcW w:w="1390" w:type="pct"/>
                </w:tcPr>
                <w:p w14:paraId="375F7431" w14:textId="0D1A7E55" w:rsidR="00406E9E" w:rsidRPr="00471BEE" w:rsidRDefault="00406E9E" w:rsidP="00406E9E">
                  <w:pPr>
                    <w:autoSpaceDE w:val="0"/>
                    <w:autoSpaceDN w:val="0"/>
                    <w:adjustRightInd w:val="0"/>
                    <w:spacing w:after="0" w:line="240" w:lineRule="auto"/>
                    <w:rPr>
                      <w:rFonts w:ascii="Calibri" w:hAnsi="Calibri" w:cs="Calibri"/>
                      <w:b/>
                      <w:color w:val="000000"/>
                    </w:rPr>
                  </w:pPr>
                  <w:r w:rsidRPr="00471BEE">
                    <w:rPr>
                      <w:rFonts w:ascii="Calibri" w:hAnsi="Calibri" w:cs="Calibri"/>
                      <w:b/>
                      <w:color w:val="000000"/>
                    </w:rPr>
                    <w:t>Stratum (sub-stratum)</w:t>
                  </w:r>
                </w:p>
              </w:tc>
              <w:tc>
                <w:tcPr>
                  <w:tcW w:w="3610" w:type="pct"/>
                </w:tcPr>
                <w:p w14:paraId="63F93FE9" w14:textId="276D33EE" w:rsidR="00406E9E" w:rsidRPr="00471BEE" w:rsidRDefault="00406E9E" w:rsidP="00406E9E">
                  <w:pPr>
                    <w:autoSpaceDE w:val="0"/>
                    <w:autoSpaceDN w:val="0"/>
                    <w:adjustRightInd w:val="0"/>
                    <w:spacing w:after="0" w:line="240" w:lineRule="auto"/>
                    <w:rPr>
                      <w:rFonts w:ascii="Calibri" w:hAnsi="Calibri" w:cs="Calibri"/>
                      <w:b/>
                      <w:color w:val="000000"/>
                    </w:rPr>
                  </w:pPr>
                  <w:r w:rsidRPr="00471BEE">
                    <w:rPr>
                      <w:rFonts w:ascii="Calibri" w:hAnsi="Calibri" w:cs="Calibri"/>
                      <w:b/>
                      <w:color w:val="000000"/>
                    </w:rPr>
                    <w:t>Management regime</w:t>
                  </w:r>
                </w:p>
              </w:tc>
            </w:tr>
            <w:tr w:rsidR="00406E9E" w:rsidRPr="00471BEE" w14:paraId="650C453A" w14:textId="77777777" w:rsidTr="00406E9E">
              <w:trPr>
                <w:trHeight w:val="694"/>
              </w:trPr>
              <w:tc>
                <w:tcPr>
                  <w:tcW w:w="1390" w:type="pct"/>
                </w:tcPr>
                <w:p w14:paraId="6ECB0BDF" w14:textId="242F3880" w:rsidR="00406E9E" w:rsidRPr="00A902C8" w:rsidRDefault="00406E9E" w:rsidP="00406E9E">
                  <w:pPr>
                    <w:autoSpaceDE w:val="0"/>
                    <w:autoSpaceDN w:val="0"/>
                    <w:adjustRightInd w:val="0"/>
                    <w:spacing w:after="0" w:line="240" w:lineRule="auto"/>
                    <w:rPr>
                      <w:rFonts w:ascii="Calibri" w:hAnsi="Calibri" w:cs="Calibri"/>
                      <w:color w:val="000000"/>
                    </w:rPr>
                  </w:pPr>
                  <w:r w:rsidRPr="00A902C8">
                    <w:rPr>
                      <w:rFonts w:ascii="Calibri" w:hAnsi="Calibri" w:cs="Calibri"/>
                      <w:color w:val="000000"/>
                    </w:rPr>
                    <w:t>CN (non SMZ)</w:t>
                  </w:r>
                </w:p>
                <w:p w14:paraId="5400AA52" w14:textId="3B78E0DA" w:rsidR="00406E9E" w:rsidRPr="00A902C8" w:rsidRDefault="00B11E48" w:rsidP="00406E9E">
                  <w:pPr>
                    <w:autoSpaceDE w:val="0"/>
                    <w:autoSpaceDN w:val="0"/>
                    <w:adjustRightInd w:val="0"/>
                    <w:spacing w:after="0" w:line="240" w:lineRule="auto"/>
                    <w:rPr>
                      <w:rFonts w:ascii="Calibri" w:hAnsi="Calibri" w:cs="Calibri"/>
                      <w:color w:val="000000"/>
                    </w:rPr>
                  </w:pPr>
                  <w:r>
                    <w:rPr>
                      <w:rFonts w:ascii="Calibri" w:hAnsi="Calibri" w:cs="Calibri"/>
                      <w:color w:val="000000"/>
                    </w:rPr>
                    <w:t>3,750</w:t>
                  </w:r>
                  <w:r w:rsidR="00406E9E" w:rsidRPr="00A902C8">
                    <w:rPr>
                      <w:rFonts w:ascii="Calibri" w:hAnsi="Calibri" w:cs="Calibri"/>
                      <w:color w:val="000000"/>
                    </w:rPr>
                    <w:t xml:space="preserve"> acres</w:t>
                  </w:r>
                </w:p>
                <w:p w14:paraId="2E41A4DB" w14:textId="47C86B59" w:rsidR="00406E9E" w:rsidRPr="00A902C8" w:rsidRDefault="00406E9E" w:rsidP="00406E9E">
                  <w:pPr>
                    <w:autoSpaceDE w:val="0"/>
                    <w:autoSpaceDN w:val="0"/>
                    <w:adjustRightInd w:val="0"/>
                    <w:spacing w:after="0" w:line="240" w:lineRule="auto"/>
                    <w:rPr>
                      <w:rFonts w:ascii="Calibri" w:hAnsi="Calibri" w:cs="Calibri"/>
                      <w:color w:val="000000"/>
                    </w:rPr>
                  </w:pPr>
                </w:p>
              </w:tc>
              <w:tc>
                <w:tcPr>
                  <w:tcW w:w="3610" w:type="pct"/>
                </w:tcPr>
                <w:p w14:paraId="10AA5480" w14:textId="1286EDCA" w:rsidR="00406E9E" w:rsidRPr="00A902C8" w:rsidRDefault="00B82161" w:rsidP="00406E9E">
                  <w:pPr>
                    <w:pStyle w:val="PlainText"/>
                    <w:rPr>
                      <w:rFonts w:asciiTheme="minorHAnsi" w:hAnsiTheme="minorHAnsi" w:cstheme="minorHAnsi"/>
                      <w:sz w:val="22"/>
                      <w:szCs w:val="22"/>
                    </w:rPr>
                  </w:pPr>
                  <w:r>
                    <w:rPr>
                      <w:rFonts w:asciiTheme="minorHAnsi" w:hAnsiTheme="minorHAnsi" w:cstheme="minorHAnsi"/>
                      <w:sz w:val="22"/>
                      <w:szCs w:val="22"/>
                    </w:rPr>
                    <w:t>15 equally-sized cohorts c</w:t>
                  </w:r>
                  <w:r w:rsidR="00406E9E" w:rsidRPr="00A902C8">
                    <w:rPr>
                      <w:rFonts w:asciiTheme="minorHAnsi" w:hAnsiTheme="minorHAnsi" w:cstheme="minorHAnsi"/>
                      <w:sz w:val="22"/>
                      <w:szCs w:val="22"/>
                    </w:rPr>
                    <w:t xml:space="preserve">learcut to minimum 5” dbh in </w:t>
                  </w:r>
                  <w:r>
                    <w:rPr>
                      <w:rFonts w:asciiTheme="minorHAnsi" w:hAnsiTheme="minorHAnsi" w:cstheme="minorHAnsi"/>
                      <w:sz w:val="22"/>
                      <w:szCs w:val="22"/>
                    </w:rPr>
                    <w:t xml:space="preserve">consecutive years from </w:t>
                  </w:r>
                  <w:r w:rsidR="00406E9E" w:rsidRPr="00A902C8">
                    <w:rPr>
                      <w:rFonts w:asciiTheme="minorHAnsi" w:hAnsiTheme="minorHAnsi" w:cstheme="minorHAnsi"/>
                      <w:sz w:val="22"/>
                      <w:szCs w:val="22"/>
                    </w:rPr>
                    <w:t>2020</w:t>
                  </w:r>
                  <w:r>
                    <w:rPr>
                      <w:rFonts w:asciiTheme="minorHAnsi" w:hAnsiTheme="minorHAnsi" w:cstheme="minorHAnsi"/>
                      <w:sz w:val="22"/>
                      <w:szCs w:val="22"/>
                    </w:rPr>
                    <w:t xml:space="preserve"> to 2034</w:t>
                  </w:r>
                  <w:r w:rsidR="00406E9E" w:rsidRPr="00A902C8">
                    <w:rPr>
                      <w:rFonts w:asciiTheme="minorHAnsi" w:hAnsiTheme="minorHAnsi" w:cstheme="minorHAnsi"/>
                      <w:sz w:val="22"/>
                      <w:szCs w:val="22"/>
                    </w:rPr>
                    <w:t>, regeneration via sprouting.</w:t>
                  </w:r>
                </w:p>
                <w:p w14:paraId="275E3B0E" w14:textId="4A6EEBEF" w:rsidR="00406E9E" w:rsidRPr="00A902C8" w:rsidRDefault="00406E9E" w:rsidP="00406E9E">
                  <w:pPr>
                    <w:autoSpaceDE w:val="0"/>
                    <w:autoSpaceDN w:val="0"/>
                    <w:adjustRightInd w:val="0"/>
                    <w:spacing w:after="0" w:line="240" w:lineRule="auto"/>
                    <w:jc w:val="right"/>
                    <w:rPr>
                      <w:rFonts w:ascii="Calibri" w:hAnsi="Calibri" w:cs="Calibri"/>
                      <w:color w:val="000000"/>
                    </w:rPr>
                  </w:pPr>
                </w:p>
              </w:tc>
            </w:tr>
            <w:tr w:rsidR="00406E9E" w:rsidRPr="00471BEE" w14:paraId="5F174F91" w14:textId="77777777" w:rsidTr="00406E9E">
              <w:trPr>
                <w:trHeight w:val="694"/>
              </w:trPr>
              <w:tc>
                <w:tcPr>
                  <w:tcW w:w="1390" w:type="pct"/>
                </w:tcPr>
                <w:p w14:paraId="380DA294" w14:textId="222D28B3" w:rsidR="00406E9E" w:rsidRPr="00A902C8" w:rsidRDefault="00406E9E" w:rsidP="00406E9E">
                  <w:pPr>
                    <w:autoSpaceDE w:val="0"/>
                    <w:autoSpaceDN w:val="0"/>
                    <w:adjustRightInd w:val="0"/>
                    <w:spacing w:after="0" w:line="240" w:lineRule="auto"/>
                    <w:rPr>
                      <w:rFonts w:ascii="Calibri" w:hAnsi="Calibri" w:cs="Calibri"/>
                      <w:color w:val="000000"/>
                    </w:rPr>
                  </w:pPr>
                  <w:r w:rsidRPr="00A902C8">
                    <w:rPr>
                      <w:rFonts w:ascii="Calibri" w:hAnsi="Calibri" w:cs="Calibri"/>
                      <w:color w:val="000000"/>
                    </w:rPr>
                    <w:t>CS (non SMZ)</w:t>
                  </w:r>
                </w:p>
                <w:p w14:paraId="22C8A44E" w14:textId="5A6E2975" w:rsidR="00406E9E" w:rsidRPr="00A902C8" w:rsidRDefault="00B11E48" w:rsidP="00406E9E">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3,376 </w:t>
                  </w:r>
                  <w:r w:rsidR="00406E9E" w:rsidRPr="00A902C8">
                    <w:rPr>
                      <w:rFonts w:ascii="Calibri" w:hAnsi="Calibri" w:cs="Calibri"/>
                      <w:color w:val="000000"/>
                    </w:rPr>
                    <w:t>acres</w:t>
                  </w:r>
                </w:p>
              </w:tc>
              <w:tc>
                <w:tcPr>
                  <w:tcW w:w="3610" w:type="pct"/>
                </w:tcPr>
                <w:p w14:paraId="315AA702" w14:textId="77777777" w:rsidR="00B11E48" w:rsidRPr="00A902C8" w:rsidRDefault="00B11E48" w:rsidP="00B11E48">
                  <w:pPr>
                    <w:pStyle w:val="PlainText"/>
                    <w:rPr>
                      <w:rFonts w:asciiTheme="minorHAnsi" w:hAnsiTheme="minorHAnsi" w:cstheme="minorHAnsi"/>
                      <w:sz w:val="22"/>
                      <w:szCs w:val="22"/>
                    </w:rPr>
                  </w:pPr>
                  <w:r>
                    <w:rPr>
                      <w:rFonts w:asciiTheme="minorHAnsi" w:hAnsiTheme="minorHAnsi" w:cstheme="minorHAnsi"/>
                      <w:sz w:val="22"/>
                      <w:szCs w:val="22"/>
                    </w:rPr>
                    <w:t>15 equally-sized cohorts c</w:t>
                  </w:r>
                  <w:r w:rsidRPr="00A902C8">
                    <w:rPr>
                      <w:rFonts w:asciiTheme="minorHAnsi" w:hAnsiTheme="minorHAnsi" w:cstheme="minorHAnsi"/>
                      <w:sz w:val="22"/>
                      <w:szCs w:val="22"/>
                    </w:rPr>
                    <w:t xml:space="preserve">learcut to minimum 5” dbh in </w:t>
                  </w:r>
                  <w:r>
                    <w:rPr>
                      <w:rFonts w:asciiTheme="minorHAnsi" w:hAnsiTheme="minorHAnsi" w:cstheme="minorHAnsi"/>
                      <w:sz w:val="22"/>
                      <w:szCs w:val="22"/>
                    </w:rPr>
                    <w:t xml:space="preserve">consecutive years from </w:t>
                  </w:r>
                  <w:r w:rsidRPr="00A902C8">
                    <w:rPr>
                      <w:rFonts w:asciiTheme="minorHAnsi" w:hAnsiTheme="minorHAnsi" w:cstheme="minorHAnsi"/>
                      <w:sz w:val="22"/>
                      <w:szCs w:val="22"/>
                    </w:rPr>
                    <w:t>2020</w:t>
                  </w:r>
                  <w:r>
                    <w:rPr>
                      <w:rFonts w:asciiTheme="minorHAnsi" w:hAnsiTheme="minorHAnsi" w:cstheme="minorHAnsi"/>
                      <w:sz w:val="22"/>
                      <w:szCs w:val="22"/>
                    </w:rPr>
                    <w:t xml:space="preserve"> to 2034</w:t>
                  </w:r>
                  <w:r w:rsidRPr="00A902C8">
                    <w:rPr>
                      <w:rFonts w:asciiTheme="minorHAnsi" w:hAnsiTheme="minorHAnsi" w:cstheme="minorHAnsi"/>
                      <w:sz w:val="22"/>
                      <w:szCs w:val="22"/>
                    </w:rPr>
                    <w:t>, regeneration via sprouting.</w:t>
                  </w:r>
                </w:p>
                <w:p w14:paraId="0653FCD6" w14:textId="7F99DBD0" w:rsidR="00406E9E" w:rsidRPr="00A902C8" w:rsidRDefault="00406E9E" w:rsidP="00406E9E">
                  <w:pPr>
                    <w:autoSpaceDE w:val="0"/>
                    <w:autoSpaceDN w:val="0"/>
                    <w:adjustRightInd w:val="0"/>
                    <w:spacing w:after="0" w:line="240" w:lineRule="auto"/>
                    <w:jc w:val="right"/>
                    <w:rPr>
                      <w:rFonts w:ascii="Calibri" w:hAnsi="Calibri" w:cs="Calibri"/>
                      <w:color w:val="000000"/>
                    </w:rPr>
                  </w:pPr>
                  <w:r w:rsidRPr="00A902C8">
                    <w:rPr>
                      <w:rFonts w:ascii="Calibri" w:hAnsi="Calibri" w:cs="Calibri"/>
                      <w:color w:val="000000"/>
                    </w:rPr>
                    <w:t xml:space="preserve">               </w:t>
                  </w:r>
                </w:p>
              </w:tc>
            </w:tr>
            <w:tr w:rsidR="00406E9E" w:rsidRPr="00471BEE" w14:paraId="31AEAD3C" w14:textId="77777777" w:rsidTr="00406E9E">
              <w:trPr>
                <w:trHeight w:val="694"/>
              </w:trPr>
              <w:tc>
                <w:tcPr>
                  <w:tcW w:w="1390" w:type="pct"/>
                </w:tcPr>
                <w:p w14:paraId="10115EB6" w14:textId="4D1CC61C" w:rsidR="00406E9E" w:rsidRPr="00471BEE" w:rsidRDefault="00406E9E" w:rsidP="00406E9E">
                  <w:pPr>
                    <w:autoSpaceDE w:val="0"/>
                    <w:autoSpaceDN w:val="0"/>
                    <w:adjustRightInd w:val="0"/>
                    <w:spacing w:after="0" w:line="240" w:lineRule="auto"/>
                    <w:rPr>
                      <w:rFonts w:ascii="Calibri" w:hAnsi="Calibri" w:cs="Calibri"/>
                      <w:color w:val="000000"/>
                    </w:rPr>
                  </w:pPr>
                  <w:r w:rsidRPr="00471BEE">
                    <w:rPr>
                      <w:rFonts w:ascii="Calibri" w:hAnsi="Calibri" w:cs="Calibri"/>
                      <w:color w:val="000000"/>
                    </w:rPr>
                    <w:t>OR (non SMZ)</w:t>
                  </w:r>
                </w:p>
                <w:p w14:paraId="1C5465DD" w14:textId="71F86BA6" w:rsidR="00406E9E" w:rsidRPr="00471BEE" w:rsidRDefault="002F1DB9" w:rsidP="00406E9E">
                  <w:pPr>
                    <w:autoSpaceDE w:val="0"/>
                    <w:autoSpaceDN w:val="0"/>
                    <w:adjustRightInd w:val="0"/>
                    <w:spacing w:after="0" w:line="240" w:lineRule="auto"/>
                    <w:rPr>
                      <w:rFonts w:ascii="Calibri" w:hAnsi="Calibri" w:cs="Calibri"/>
                      <w:color w:val="000000"/>
                    </w:rPr>
                  </w:pPr>
                  <w:r>
                    <w:rPr>
                      <w:rFonts w:ascii="Calibri" w:hAnsi="Calibri" w:cs="Calibri"/>
                      <w:color w:val="000000"/>
                    </w:rPr>
                    <w:t>1,833</w:t>
                  </w:r>
                  <w:r w:rsidR="00406E9E" w:rsidRPr="00471BEE">
                    <w:rPr>
                      <w:rFonts w:ascii="Calibri" w:hAnsi="Calibri" w:cs="Calibri"/>
                      <w:color w:val="000000"/>
                    </w:rPr>
                    <w:t xml:space="preserve"> acres</w:t>
                  </w:r>
                </w:p>
              </w:tc>
              <w:tc>
                <w:tcPr>
                  <w:tcW w:w="3610" w:type="pct"/>
                </w:tcPr>
                <w:p w14:paraId="51DB0B3B" w14:textId="77777777" w:rsidR="00B11E48" w:rsidRPr="00A902C8" w:rsidRDefault="00B11E48" w:rsidP="00B11E48">
                  <w:pPr>
                    <w:pStyle w:val="PlainText"/>
                    <w:rPr>
                      <w:rFonts w:asciiTheme="minorHAnsi" w:hAnsiTheme="minorHAnsi" w:cstheme="minorHAnsi"/>
                      <w:sz w:val="22"/>
                      <w:szCs w:val="22"/>
                    </w:rPr>
                  </w:pPr>
                  <w:r>
                    <w:rPr>
                      <w:rFonts w:asciiTheme="minorHAnsi" w:hAnsiTheme="minorHAnsi" w:cstheme="minorHAnsi"/>
                      <w:sz w:val="22"/>
                      <w:szCs w:val="22"/>
                    </w:rPr>
                    <w:t>15 equally-sized cohorts c</w:t>
                  </w:r>
                  <w:r w:rsidRPr="00A902C8">
                    <w:rPr>
                      <w:rFonts w:asciiTheme="minorHAnsi" w:hAnsiTheme="minorHAnsi" w:cstheme="minorHAnsi"/>
                      <w:sz w:val="22"/>
                      <w:szCs w:val="22"/>
                    </w:rPr>
                    <w:t xml:space="preserve">learcut to minimum 5” dbh in </w:t>
                  </w:r>
                  <w:r>
                    <w:rPr>
                      <w:rFonts w:asciiTheme="minorHAnsi" w:hAnsiTheme="minorHAnsi" w:cstheme="minorHAnsi"/>
                      <w:sz w:val="22"/>
                      <w:szCs w:val="22"/>
                    </w:rPr>
                    <w:t xml:space="preserve">consecutive years from </w:t>
                  </w:r>
                  <w:r w:rsidRPr="00A902C8">
                    <w:rPr>
                      <w:rFonts w:asciiTheme="minorHAnsi" w:hAnsiTheme="minorHAnsi" w:cstheme="minorHAnsi"/>
                      <w:sz w:val="22"/>
                      <w:szCs w:val="22"/>
                    </w:rPr>
                    <w:t>2020</w:t>
                  </w:r>
                  <w:r>
                    <w:rPr>
                      <w:rFonts w:asciiTheme="minorHAnsi" w:hAnsiTheme="minorHAnsi" w:cstheme="minorHAnsi"/>
                      <w:sz w:val="22"/>
                      <w:szCs w:val="22"/>
                    </w:rPr>
                    <w:t xml:space="preserve"> to 2034</w:t>
                  </w:r>
                  <w:r w:rsidRPr="00A902C8">
                    <w:rPr>
                      <w:rFonts w:asciiTheme="minorHAnsi" w:hAnsiTheme="minorHAnsi" w:cstheme="minorHAnsi"/>
                      <w:sz w:val="22"/>
                      <w:szCs w:val="22"/>
                    </w:rPr>
                    <w:t>, regeneration via sprouting.</w:t>
                  </w:r>
                </w:p>
                <w:p w14:paraId="6CD4903F" w14:textId="1040E743" w:rsidR="00406E9E" w:rsidRPr="00471BEE" w:rsidRDefault="00406E9E" w:rsidP="00406E9E">
                  <w:pPr>
                    <w:autoSpaceDE w:val="0"/>
                    <w:autoSpaceDN w:val="0"/>
                    <w:adjustRightInd w:val="0"/>
                    <w:spacing w:after="0" w:line="240" w:lineRule="auto"/>
                    <w:jc w:val="right"/>
                    <w:rPr>
                      <w:rFonts w:ascii="Calibri" w:hAnsi="Calibri" w:cs="Calibri"/>
                      <w:color w:val="000000"/>
                    </w:rPr>
                  </w:pPr>
                </w:p>
              </w:tc>
            </w:tr>
            <w:tr w:rsidR="00406E9E" w:rsidRPr="00471BEE" w14:paraId="01F3C71A" w14:textId="77777777" w:rsidTr="00406E9E">
              <w:trPr>
                <w:trHeight w:val="694"/>
              </w:trPr>
              <w:tc>
                <w:tcPr>
                  <w:tcW w:w="1390" w:type="pct"/>
                </w:tcPr>
                <w:p w14:paraId="6F6CE2DC" w14:textId="60BF1AE4" w:rsidR="00406E9E" w:rsidRPr="00471BEE" w:rsidRDefault="00406E9E" w:rsidP="00406E9E">
                  <w:pPr>
                    <w:autoSpaceDE w:val="0"/>
                    <w:autoSpaceDN w:val="0"/>
                    <w:adjustRightInd w:val="0"/>
                    <w:spacing w:after="0" w:line="240" w:lineRule="auto"/>
                    <w:rPr>
                      <w:rFonts w:ascii="Calibri" w:hAnsi="Calibri" w:cs="Calibri"/>
                      <w:color w:val="000000"/>
                    </w:rPr>
                  </w:pPr>
                  <w:r w:rsidRPr="00471BEE">
                    <w:rPr>
                      <w:rFonts w:ascii="Calibri" w:hAnsi="Calibri" w:cs="Calibri"/>
                      <w:color w:val="000000"/>
                    </w:rPr>
                    <w:t>HR_RG (non SMZ)</w:t>
                  </w:r>
                </w:p>
                <w:p w14:paraId="1538A374" w14:textId="694E3A26" w:rsidR="00406E9E" w:rsidRPr="00471BEE" w:rsidRDefault="003E73DA" w:rsidP="00406E9E">
                  <w:pPr>
                    <w:autoSpaceDE w:val="0"/>
                    <w:autoSpaceDN w:val="0"/>
                    <w:adjustRightInd w:val="0"/>
                    <w:spacing w:after="0" w:line="240" w:lineRule="auto"/>
                    <w:rPr>
                      <w:rFonts w:ascii="Calibri" w:hAnsi="Calibri" w:cs="Calibri"/>
                      <w:color w:val="000000"/>
                    </w:rPr>
                  </w:pPr>
                  <w:r>
                    <w:rPr>
                      <w:rFonts w:ascii="Calibri" w:hAnsi="Calibri" w:cs="Calibri"/>
                      <w:color w:val="000000"/>
                    </w:rPr>
                    <w:t>88</w:t>
                  </w:r>
                  <w:r w:rsidR="00406E9E" w:rsidRPr="00471BEE">
                    <w:rPr>
                      <w:rFonts w:ascii="Calibri" w:hAnsi="Calibri" w:cs="Calibri"/>
                      <w:color w:val="000000"/>
                    </w:rPr>
                    <w:t xml:space="preserve"> acres</w:t>
                  </w:r>
                </w:p>
              </w:tc>
              <w:tc>
                <w:tcPr>
                  <w:tcW w:w="3610" w:type="pct"/>
                </w:tcPr>
                <w:p w14:paraId="4E826267" w14:textId="331C4462" w:rsidR="00271979" w:rsidRPr="00471BEE" w:rsidRDefault="00AB0A4A" w:rsidP="00271979">
                  <w:pPr>
                    <w:pStyle w:val="PlainText"/>
                    <w:rPr>
                      <w:rFonts w:asciiTheme="minorHAnsi" w:hAnsiTheme="minorHAnsi" w:cstheme="minorHAnsi"/>
                      <w:sz w:val="22"/>
                      <w:szCs w:val="22"/>
                    </w:rPr>
                  </w:pPr>
                  <w:r>
                    <w:rPr>
                      <w:rFonts w:asciiTheme="minorHAnsi" w:hAnsiTheme="minorHAnsi" w:cstheme="minorHAnsi"/>
                      <w:sz w:val="22"/>
                      <w:szCs w:val="22"/>
                    </w:rPr>
                    <w:t>Stand</w:t>
                  </w:r>
                  <w:r w:rsidR="00271979" w:rsidRPr="00471BEE">
                    <w:rPr>
                      <w:rFonts w:asciiTheme="minorHAnsi" w:hAnsiTheme="minorHAnsi" w:cstheme="minorHAnsi"/>
                      <w:sz w:val="22"/>
                      <w:szCs w:val="22"/>
                    </w:rPr>
                    <w:t xml:space="preserve">ID </w:t>
                  </w:r>
                  <w:r>
                    <w:rPr>
                      <w:rFonts w:asciiTheme="minorHAnsi" w:hAnsiTheme="minorHAnsi" w:cstheme="minorHAnsi"/>
                      <w:sz w:val="22"/>
                      <w:szCs w:val="22"/>
                    </w:rPr>
                    <w:t>HR_RG</w:t>
                  </w:r>
                  <w:r w:rsidR="00271979" w:rsidRPr="00471BEE">
                    <w:rPr>
                      <w:rFonts w:asciiTheme="minorHAnsi" w:hAnsiTheme="minorHAnsi" w:cstheme="minorHAnsi"/>
                      <w:sz w:val="22"/>
                      <w:szCs w:val="22"/>
                    </w:rPr>
                    <w:t xml:space="preserve">: </w:t>
                  </w:r>
                  <w:r w:rsidR="00B22582" w:rsidRPr="00471BEE">
                    <w:rPr>
                      <w:rFonts w:asciiTheme="minorHAnsi" w:hAnsiTheme="minorHAnsi" w:cstheme="minorHAnsi"/>
                      <w:sz w:val="22"/>
                      <w:szCs w:val="22"/>
                    </w:rPr>
                    <w:t>No harvest.</w:t>
                  </w:r>
                </w:p>
                <w:p w14:paraId="38E345A6" w14:textId="31808EB5" w:rsidR="00406E9E" w:rsidRPr="00471BEE" w:rsidRDefault="00406E9E" w:rsidP="00406E9E">
                  <w:pPr>
                    <w:autoSpaceDE w:val="0"/>
                    <w:autoSpaceDN w:val="0"/>
                    <w:adjustRightInd w:val="0"/>
                    <w:spacing w:after="0" w:line="240" w:lineRule="auto"/>
                    <w:jc w:val="right"/>
                    <w:rPr>
                      <w:rFonts w:ascii="Calibri" w:hAnsi="Calibri" w:cs="Calibri"/>
                      <w:color w:val="000000"/>
                    </w:rPr>
                  </w:pPr>
                  <w:r w:rsidRPr="00471BEE">
                    <w:rPr>
                      <w:rFonts w:ascii="Calibri" w:hAnsi="Calibri" w:cs="Calibri"/>
                      <w:color w:val="000000"/>
                    </w:rPr>
                    <w:t xml:space="preserve">                 </w:t>
                  </w:r>
                </w:p>
              </w:tc>
            </w:tr>
            <w:tr w:rsidR="00406E9E" w:rsidRPr="00471BEE" w14:paraId="500B475F" w14:textId="77777777" w:rsidTr="00406E9E">
              <w:trPr>
                <w:trHeight w:val="694"/>
              </w:trPr>
              <w:tc>
                <w:tcPr>
                  <w:tcW w:w="1390" w:type="pct"/>
                </w:tcPr>
                <w:p w14:paraId="6298E220" w14:textId="5F433CDB" w:rsidR="00406E9E" w:rsidRPr="00471BEE" w:rsidRDefault="00406E9E" w:rsidP="00406E9E">
                  <w:pPr>
                    <w:autoSpaceDE w:val="0"/>
                    <w:autoSpaceDN w:val="0"/>
                    <w:adjustRightInd w:val="0"/>
                    <w:spacing w:after="0" w:line="240" w:lineRule="auto"/>
                    <w:rPr>
                      <w:rFonts w:ascii="Calibri" w:hAnsi="Calibri" w:cs="Calibri"/>
                      <w:color w:val="000000"/>
                    </w:rPr>
                  </w:pPr>
                  <w:r w:rsidRPr="00471BEE">
                    <w:rPr>
                      <w:rFonts w:ascii="Calibri" w:hAnsi="Calibri" w:cs="Calibri"/>
                      <w:color w:val="000000"/>
                    </w:rPr>
                    <w:t>HR_HW (non SMZ)</w:t>
                  </w:r>
                </w:p>
                <w:p w14:paraId="0029E31A" w14:textId="380E3257" w:rsidR="00406E9E" w:rsidRPr="00471BEE" w:rsidRDefault="003E73DA" w:rsidP="00406E9E">
                  <w:pPr>
                    <w:autoSpaceDE w:val="0"/>
                    <w:autoSpaceDN w:val="0"/>
                    <w:adjustRightInd w:val="0"/>
                    <w:spacing w:after="0" w:line="240" w:lineRule="auto"/>
                    <w:rPr>
                      <w:rFonts w:ascii="Calibri" w:hAnsi="Calibri" w:cs="Calibri"/>
                      <w:color w:val="000000"/>
                    </w:rPr>
                  </w:pPr>
                  <w:r>
                    <w:rPr>
                      <w:rFonts w:ascii="Calibri" w:hAnsi="Calibri" w:cs="Calibri"/>
                      <w:color w:val="000000"/>
                    </w:rPr>
                    <w:t>461</w:t>
                  </w:r>
                  <w:r w:rsidR="00406E9E" w:rsidRPr="00471BEE">
                    <w:rPr>
                      <w:rFonts w:ascii="Calibri" w:hAnsi="Calibri" w:cs="Calibri"/>
                      <w:color w:val="000000"/>
                    </w:rPr>
                    <w:t xml:space="preserve"> acres</w:t>
                  </w:r>
                </w:p>
              </w:tc>
              <w:tc>
                <w:tcPr>
                  <w:tcW w:w="3610" w:type="pct"/>
                </w:tcPr>
                <w:p w14:paraId="18C003EE" w14:textId="77777777" w:rsidR="00B11E48" w:rsidRPr="00A902C8" w:rsidRDefault="00B11E48" w:rsidP="00B11E48">
                  <w:pPr>
                    <w:pStyle w:val="PlainText"/>
                    <w:rPr>
                      <w:rFonts w:asciiTheme="minorHAnsi" w:hAnsiTheme="minorHAnsi" w:cstheme="minorHAnsi"/>
                      <w:sz w:val="22"/>
                      <w:szCs w:val="22"/>
                    </w:rPr>
                  </w:pPr>
                  <w:r>
                    <w:rPr>
                      <w:rFonts w:asciiTheme="minorHAnsi" w:hAnsiTheme="minorHAnsi" w:cstheme="minorHAnsi"/>
                      <w:sz w:val="22"/>
                      <w:szCs w:val="22"/>
                    </w:rPr>
                    <w:t>15 equally-sized cohorts c</w:t>
                  </w:r>
                  <w:r w:rsidRPr="00A902C8">
                    <w:rPr>
                      <w:rFonts w:asciiTheme="minorHAnsi" w:hAnsiTheme="minorHAnsi" w:cstheme="minorHAnsi"/>
                      <w:sz w:val="22"/>
                      <w:szCs w:val="22"/>
                    </w:rPr>
                    <w:t xml:space="preserve">learcut to minimum 5” dbh in </w:t>
                  </w:r>
                  <w:r>
                    <w:rPr>
                      <w:rFonts w:asciiTheme="minorHAnsi" w:hAnsiTheme="minorHAnsi" w:cstheme="minorHAnsi"/>
                      <w:sz w:val="22"/>
                      <w:szCs w:val="22"/>
                    </w:rPr>
                    <w:t xml:space="preserve">consecutive years from </w:t>
                  </w:r>
                  <w:r w:rsidRPr="00A902C8">
                    <w:rPr>
                      <w:rFonts w:asciiTheme="minorHAnsi" w:hAnsiTheme="minorHAnsi" w:cstheme="minorHAnsi"/>
                      <w:sz w:val="22"/>
                      <w:szCs w:val="22"/>
                    </w:rPr>
                    <w:t>2020</w:t>
                  </w:r>
                  <w:r>
                    <w:rPr>
                      <w:rFonts w:asciiTheme="minorHAnsi" w:hAnsiTheme="minorHAnsi" w:cstheme="minorHAnsi"/>
                      <w:sz w:val="22"/>
                      <w:szCs w:val="22"/>
                    </w:rPr>
                    <w:t xml:space="preserve"> to 2034</w:t>
                  </w:r>
                  <w:r w:rsidRPr="00A902C8">
                    <w:rPr>
                      <w:rFonts w:asciiTheme="minorHAnsi" w:hAnsiTheme="minorHAnsi" w:cstheme="minorHAnsi"/>
                      <w:sz w:val="22"/>
                      <w:szCs w:val="22"/>
                    </w:rPr>
                    <w:t>, regeneration via sprouting.</w:t>
                  </w:r>
                </w:p>
                <w:p w14:paraId="61FA07D4" w14:textId="7A6631FD" w:rsidR="00406E9E" w:rsidRPr="00471BEE" w:rsidRDefault="00406E9E" w:rsidP="00406E9E">
                  <w:pPr>
                    <w:autoSpaceDE w:val="0"/>
                    <w:autoSpaceDN w:val="0"/>
                    <w:adjustRightInd w:val="0"/>
                    <w:spacing w:after="0" w:line="240" w:lineRule="auto"/>
                    <w:jc w:val="right"/>
                    <w:rPr>
                      <w:rFonts w:ascii="Calibri" w:hAnsi="Calibri" w:cs="Calibri"/>
                      <w:color w:val="000000"/>
                    </w:rPr>
                  </w:pPr>
                  <w:r w:rsidRPr="00471BEE">
                    <w:rPr>
                      <w:rFonts w:ascii="Calibri" w:hAnsi="Calibri" w:cs="Calibri"/>
                      <w:color w:val="000000"/>
                    </w:rPr>
                    <w:t xml:space="preserve">                 </w:t>
                  </w:r>
                </w:p>
              </w:tc>
            </w:tr>
            <w:tr w:rsidR="00406E9E" w:rsidRPr="00471BEE" w14:paraId="6F890A79" w14:textId="77777777" w:rsidTr="00406E9E">
              <w:trPr>
                <w:trHeight w:val="694"/>
              </w:trPr>
              <w:tc>
                <w:tcPr>
                  <w:tcW w:w="1390" w:type="pct"/>
                </w:tcPr>
                <w:p w14:paraId="63254B29" w14:textId="5882E3F0" w:rsidR="00406E9E" w:rsidRPr="00471BEE" w:rsidRDefault="00406E9E" w:rsidP="00406E9E">
                  <w:pPr>
                    <w:autoSpaceDE w:val="0"/>
                    <w:autoSpaceDN w:val="0"/>
                    <w:adjustRightInd w:val="0"/>
                    <w:spacing w:after="0" w:line="240" w:lineRule="auto"/>
                    <w:rPr>
                      <w:rFonts w:ascii="Calibri" w:hAnsi="Calibri" w:cs="Calibri"/>
                      <w:color w:val="000000"/>
                    </w:rPr>
                  </w:pPr>
                  <w:r w:rsidRPr="00471BEE">
                    <w:rPr>
                      <w:rFonts w:ascii="Calibri" w:hAnsi="Calibri" w:cs="Calibri"/>
                      <w:color w:val="000000"/>
                    </w:rPr>
                    <w:t>HR_PI (non SMZ)</w:t>
                  </w:r>
                </w:p>
                <w:p w14:paraId="5BBDDEA7" w14:textId="39CF2093" w:rsidR="00406E9E" w:rsidRPr="00471BEE" w:rsidRDefault="003E73DA" w:rsidP="00406E9E">
                  <w:pPr>
                    <w:autoSpaceDE w:val="0"/>
                    <w:autoSpaceDN w:val="0"/>
                    <w:adjustRightInd w:val="0"/>
                    <w:spacing w:after="0" w:line="240" w:lineRule="auto"/>
                    <w:rPr>
                      <w:rFonts w:ascii="Calibri" w:hAnsi="Calibri" w:cs="Calibri"/>
                      <w:color w:val="000000"/>
                    </w:rPr>
                  </w:pPr>
                  <w:r>
                    <w:rPr>
                      <w:rFonts w:ascii="Calibri" w:hAnsi="Calibri" w:cs="Calibri"/>
                      <w:color w:val="000000"/>
                    </w:rPr>
                    <w:t>226</w:t>
                  </w:r>
                  <w:r w:rsidR="00406E9E" w:rsidRPr="00471BEE">
                    <w:rPr>
                      <w:rFonts w:ascii="Calibri" w:hAnsi="Calibri" w:cs="Calibri"/>
                      <w:color w:val="000000"/>
                    </w:rPr>
                    <w:t xml:space="preserve"> acres</w:t>
                  </w:r>
                </w:p>
              </w:tc>
              <w:tc>
                <w:tcPr>
                  <w:tcW w:w="3610" w:type="pct"/>
                </w:tcPr>
                <w:p w14:paraId="07683E54" w14:textId="77777777" w:rsidR="00B11E48" w:rsidRPr="00A902C8" w:rsidRDefault="00B11E48" w:rsidP="00B11E48">
                  <w:pPr>
                    <w:pStyle w:val="PlainText"/>
                    <w:rPr>
                      <w:rFonts w:asciiTheme="minorHAnsi" w:hAnsiTheme="minorHAnsi" w:cstheme="minorHAnsi"/>
                      <w:sz w:val="22"/>
                      <w:szCs w:val="22"/>
                    </w:rPr>
                  </w:pPr>
                  <w:r>
                    <w:rPr>
                      <w:rFonts w:asciiTheme="minorHAnsi" w:hAnsiTheme="minorHAnsi" w:cstheme="minorHAnsi"/>
                      <w:sz w:val="22"/>
                      <w:szCs w:val="22"/>
                    </w:rPr>
                    <w:t>15 equally-sized cohorts c</w:t>
                  </w:r>
                  <w:r w:rsidRPr="00A902C8">
                    <w:rPr>
                      <w:rFonts w:asciiTheme="minorHAnsi" w:hAnsiTheme="minorHAnsi" w:cstheme="minorHAnsi"/>
                      <w:sz w:val="22"/>
                      <w:szCs w:val="22"/>
                    </w:rPr>
                    <w:t xml:space="preserve">learcut to minimum 5” dbh in </w:t>
                  </w:r>
                  <w:r>
                    <w:rPr>
                      <w:rFonts w:asciiTheme="minorHAnsi" w:hAnsiTheme="minorHAnsi" w:cstheme="minorHAnsi"/>
                      <w:sz w:val="22"/>
                      <w:szCs w:val="22"/>
                    </w:rPr>
                    <w:t xml:space="preserve">consecutive years from </w:t>
                  </w:r>
                  <w:r w:rsidRPr="00A902C8">
                    <w:rPr>
                      <w:rFonts w:asciiTheme="minorHAnsi" w:hAnsiTheme="minorHAnsi" w:cstheme="minorHAnsi"/>
                      <w:sz w:val="22"/>
                      <w:szCs w:val="22"/>
                    </w:rPr>
                    <w:t>2020</w:t>
                  </w:r>
                  <w:r>
                    <w:rPr>
                      <w:rFonts w:asciiTheme="minorHAnsi" w:hAnsiTheme="minorHAnsi" w:cstheme="minorHAnsi"/>
                      <w:sz w:val="22"/>
                      <w:szCs w:val="22"/>
                    </w:rPr>
                    <w:t xml:space="preserve"> to 2034</w:t>
                  </w:r>
                  <w:r w:rsidRPr="00A902C8">
                    <w:rPr>
                      <w:rFonts w:asciiTheme="minorHAnsi" w:hAnsiTheme="minorHAnsi" w:cstheme="minorHAnsi"/>
                      <w:sz w:val="22"/>
                      <w:szCs w:val="22"/>
                    </w:rPr>
                    <w:t>, regeneration via sprouting.</w:t>
                  </w:r>
                </w:p>
                <w:p w14:paraId="1E139006" w14:textId="009DB7B1" w:rsidR="00406E9E" w:rsidRPr="00471BEE" w:rsidRDefault="00406E9E" w:rsidP="00406E9E">
                  <w:pPr>
                    <w:autoSpaceDE w:val="0"/>
                    <w:autoSpaceDN w:val="0"/>
                    <w:adjustRightInd w:val="0"/>
                    <w:spacing w:after="0" w:line="240" w:lineRule="auto"/>
                    <w:jc w:val="right"/>
                    <w:rPr>
                      <w:rFonts w:ascii="Calibri" w:hAnsi="Calibri" w:cs="Calibri"/>
                      <w:color w:val="000000"/>
                    </w:rPr>
                  </w:pPr>
                  <w:r w:rsidRPr="00471BEE">
                    <w:rPr>
                      <w:rFonts w:ascii="Calibri" w:hAnsi="Calibri" w:cs="Calibri"/>
                      <w:color w:val="000000"/>
                    </w:rPr>
                    <w:t xml:space="preserve">                  </w:t>
                  </w:r>
                </w:p>
              </w:tc>
            </w:tr>
            <w:tr w:rsidR="00406E9E" w:rsidRPr="00471BEE" w14:paraId="4EE08EF7" w14:textId="77777777" w:rsidTr="00271979">
              <w:trPr>
                <w:trHeight w:val="694"/>
              </w:trPr>
              <w:tc>
                <w:tcPr>
                  <w:tcW w:w="1390" w:type="pct"/>
                </w:tcPr>
                <w:p w14:paraId="141EE85A" w14:textId="0742AFA4" w:rsidR="00406E9E" w:rsidRPr="00471BEE" w:rsidRDefault="00406E9E" w:rsidP="00406E9E">
                  <w:pPr>
                    <w:autoSpaceDE w:val="0"/>
                    <w:autoSpaceDN w:val="0"/>
                    <w:adjustRightInd w:val="0"/>
                    <w:spacing w:after="0" w:line="240" w:lineRule="auto"/>
                    <w:rPr>
                      <w:rFonts w:ascii="Calibri" w:hAnsi="Calibri" w:cs="Calibri"/>
                      <w:color w:val="000000"/>
                    </w:rPr>
                  </w:pPr>
                  <w:r w:rsidRPr="00471BEE">
                    <w:rPr>
                      <w:rFonts w:ascii="Calibri" w:hAnsi="Calibri" w:cs="Calibri"/>
                      <w:color w:val="000000"/>
                    </w:rPr>
                    <w:t>CN (SMZ)</w:t>
                  </w:r>
                </w:p>
                <w:p w14:paraId="56A7FD5F" w14:textId="101A4CC7" w:rsidR="00406E9E" w:rsidRPr="00471BEE" w:rsidRDefault="00074BC8" w:rsidP="00406E9E">
                  <w:pPr>
                    <w:autoSpaceDE w:val="0"/>
                    <w:autoSpaceDN w:val="0"/>
                    <w:adjustRightInd w:val="0"/>
                    <w:spacing w:after="0" w:line="240" w:lineRule="auto"/>
                    <w:rPr>
                      <w:rFonts w:ascii="Calibri" w:hAnsi="Calibri" w:cs="Calibri"/>
                      <w:color w:val="000000"/>
                    </w:rPr>
                  </w:pPr>
                  <w:r>
                    <w:rPr>
                      <w:rFonts w:ascii="Calibri" w:hAnsi="Calibri" w:cs="Calibri"/>
                      <w:color w:val="000000"/>
                    </w:rPr>
                    <w:t>612</w:t>
                  </w:r>
                  <w:r w:rsidR="00A902C8">
                    <w:rPr>
                      <w:rFonts w:ascii="Calibri" w:hAnsi="Calibri" w:cs="Calibri"/>
                      <w:color w:val="000000"/>
                    </w:rPr>
                    <w:t xml:space="preserve"> </w:t>
                  </w:r>
                  <w:r w:rsidR="00406E9E" w:rsidRPr="00471BEE">
                    <w:rPr>
                      <w:rFonts w:ascii="Calibri" w:hAnsi="Calibri" w:cs="Calibri"/>
                      <w:color w:val="000000"/>
                    </w:rPr>
                    <w:t>acres</w:t>
                  </w:r>
                </w:p>
              </w:tc>
              <w:tc>
                <w:tcPr>
                  <w:tcW w:w="3610" w:type="pct"/>
                </w:tcPr>
                <w:p w14:paraId="31547D09" w14:textId="19FC2330" w:rsidR="00406E9E" w:rsidRPr="00471BEE" w:rsidRDefault="00074BC8" w:rsidP="00406E9E">
                  <w:pPr>
                    <w:pStyle w:val="PlainText"/>
                    <w:rPr>
                      <w:rFonts w:asciiTheme="minorHAnsi" w:hAnsiTheme="minorHAnsi" w:cstheme="minorHAnsi"/>
                      <w:sz w:val="22"/>
                      <w:szCs w:val="22"/>
                    </w:rPr>
                  </w:pPr>
                  <w:r>
                    <w:rPr>
                      <w:rFonts w:asciiTheme="minorHAnsi" w:hAnsiTheme="minorHAnsi" w:cstheme="minorHAnsi"/>
                      <w:sz w:val="22"/>
                      <w:szCs w:val="22"/>
                    </w:rPr>
                    <w:t>No harvest.</w:t>
                  </w:r>
                </w:p>
                <w:p w14:paraId="05B01349" w14:textId="434DE03B" w:rsidR="00406E9E" w:rsidRPr="00471BEE" w:rsidRDefault="00406E9E" w:rsidP="00406E9E">
                  <w:pPr>
                    <w:autoSpaceDE w:val="0"/>
                    <w:autoSpaceDN w:val="0"/>
                    <w:adjustRightInd w:val="0"/>
                    <w:spacing w:after="0" w:line="240" w:lineRule="auto"/>
                    <w:jc w:val="right"/>
                    <w:rPr>
                      <w:rFonts w:ascii="Calibri" w:hAnsi="Calibri" w:cs="Calibri"/>
                      <w:color w:val="000000"/>
                    </w:rPr>
                  </w:pPr>
                  <w:r w:rsidRPr="00471BEE">
                    <w:rPr>
                      <w:rFonts w:ascii="Calibri" w:hAnsi="Calibri" w:cs="Calibri"/>
                      <w:color w:val="000000"/>
                    </w:rPr>
                    <w:t xml:space="preserve">                  </w:t>
                  </w:r>
                </w:p>
              </w:tc>
            </w:tr>
            <w:tr w:rsidR="00406E9E" w:rsidRPr="00471BEE" w14:paraId="0020C555" w14:textId="77777777" w:rsidTr="00271979">
              <w:trPr>
                <w:trHeight w:val="694"/>
              </w:trPr>
              <w:tc>
                <w:tcPr>
                  <w:tcW w:w="1390" w:type="pct"/>
                </w:tcPr>
                <w:p w14:paraId="51F0E2BD" w14:textId="61CCBDB8" w:rsidR="00406E9E" w:rsidRPr="00471BEE" w:rsidRDefault="00406E9E" w:rsidP="00406E9E">
                  <w:pPr>
                    <w:autoSpaceDE w:val="0"/>
                    <w:autoSpaceDN w:val="0"/>
                    <w:adjustRightInd w:val="0"/>
                    <w:spacing w:after="0" w:line="240" w:lineRule="auto"/>
                    <w:rPr>
                      <w:rFonts w:ascii="Calibri" w:hAnsi="Calibri" w:cs="Calibri"/>
                      <w:color w:val="000000"/>
                    </w:rPr>
                  </w:pPr>
                  <w:r w:rsidRPr="00471BEE">
                    <w:rPr>
                      <w:rFonts w:ascii="Calibri" w:hAnsi="Calibri" w:cs="Calibri"/>
                      <w:color w:val="000000"/>
                    </w:rPr>
                    <w:t>CS (SMZ)</w:t>
                  </w:r>
                </w:p>
                <w:p w14:paraId="17D98375" w14:textId="12F5A4CF" w:rsidR="00406E9E" w:rsidRPr="00471BEE" w:rsidRDefault="00074BC8" w:rsidP="00406E9E">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618 </w:t>
                  </w:r>
                  <w:r w:rsidRPr="00471BEE">
                    <w:rPr>
                      <w:rFonts w:ascii="Calibri" w:hAnsi="Calibri" w:cs="Calibri"/>
                      <w:color w:val="000000"/>
                    </w:rPr>
                    <w:t xml:space="preserve"> </w:t>
                  </w:r>
                  <w:r w:rsidR="00406E9E" w:rsidRPr="00471BEE">
                    <w:rPr>
                      <w:rFonts w:ascii="Calibri" w:hAnsi="Calibri" w:cs="Calibri"/>
                      <w:color w:val="000000"/>
                    </w:rPr>
                    <w:t>acres</w:t>
                  </w:r>
                </w:p>
              </w:tc>
              <w:tc>
                <w:tcPr>
                  <w:tcW w:w="3610" w:type="pct"/>
                </w:tcPr>
                <w:p w14:paraId="2C13B408" w14:textId="77777777" w:rsidR="00074BC8" w:rsidRPr="00471BEE" w:rsidRDefault="00074BC8" w:rsidP="00074BC8">
                  <w:pPr>
                    <w:pStyle w:val="PlainText"/>
                    <w:rPr>
                      <w:rFonts w:asciiTheme="minorHAnsi" w:hAnsiTheme="minorHAnsi" w:cstheme="minorHAnsi"/>
                      <w:sz w:val="22"/>
                      <w:szCs w:val="22"/>
                    </w:rPr>
                  </w:pPr>
                  <w:r>
                    <w:rPr>
                      <w:rFonts w:asciiTheme="minorHAnsi" w:hAnsiTheme="minorHAnsi" w:cstheme="minorHAnsi"/>
                      <w:sz w:val="22"/>
                      <w:szCs w:val="22"/>
                    </w:rPr>
                    <w:t>No harvest.</w:t>
                  </w:r>
                </w:p>
                <w:p w14:paraId="0E94DE4C" w14:textId="47A9A49E" w:rsidR="00406E9E" w:rsidRPr="00471BEE" w:rsidRDefault="00406E9E" w:rsidP="00406E9E">
                  <w:pPr>
                    <w:autoSpaceDE w:val="0"/>
                    <w:autoSpaceDN w:val="0"/>
                    <w:adjustRightInd w:val="0"/>
                    <w:spacing w:after="0" w:line="240" w:lineRule="auto"/>
                    <w:jc w:val="right"/>
                    <w:rPr>
                      <w:rFonts w:ascii="Calibri" w:hAnsi="Calibri" w:cs="Calibri"/>
                      <w:color w:val="000000"/>
                    </w:rPr>
                  </w:pPr>
                  <w:r w:rsidRPr="00471BEE">
                    <w:rPr>
                      <w:rFonts w:ascii="Calibri" w:hAnsi="Calibri" w:cs="Calibri"/>
                      <w:color w:val="000000"/>
                    </w:rPr>
                    <w:t xml:space="preserve">                  </w:t>
                  </w:r>
                </w:p>
              </w:tc>
            </w:tr>
            <w:tr w:rsidR="00406E9E" w:rsidRPr="00471BEE" w14:paraId="3676A1B5" w14:textId="77777777" w:rsidTr="00271979">
              <w:trPr>
                <w:trHeight w:val="694"/>
              </w:trPr>
              <w:tc>
                <w:tcPr>
                  <w:tcW w:w="1390" w:type="pct"/>
                </w:tcPr>
                <w:p w14:paraId="47996677" w14:textId="77C34315" w:rsidR="00406E9E" w:rsidRPr="00471BEE" w:rsidRDefault="00406E9E" w:rsidP="00406E9E">
                  <w:pPr>
                    <w:autoSpaceDE w:val="0"/>
                    <w:autoSpaceDN w:val="0"/>
                    <w:adjustRightInd w:val="0"/>
                    <w:spacing w:after="0" w:line="240" w:lineRule="auto"/>
                    <w:rPr>
                      <w:rFonts w:ascii="Calibri" w:hAnsi="Calibri" w:cs="Calibri"/>
                      <w:color w:val="000000"/>
                    </w:rPr>
                  </w:pPr>
                  <w:r w:rsidRPr="00471BEE">
                    <w:rPr>
                      <w:rFonts w:ascii="Calibri" w:hAnsi="Calibri" w:cs="Calibri"/>
                      <w:color w:val="000000"/>
                    </w:rPr>
                    <w:t>OR (SMZ)</w:t>
                  </w:r>
                </w:p>
                <w:p w14:paraId="043EF871" w14:textId="2214CDAB" w:rsidR="00406E9E" w:rsidRPr="00471BEE" w:rsidRDefault="002F1DB9" w:rsidP="00406E9E">
                  <w:pPr>
                    <w:autoSpaceDE w:val="0"/>
                    <w:autoSpaceDN w:val="0"/>
                    <w:adjustRightInd w:val="0"/>
                    <w:spacing w:after="0" w:line="240" w:lineRule="auto"/>
                    <w:rPr>
                      <w:rFonts w:ascii="Calibri" w:hAnsi="Calibri" w:cs="Calibri"/>
                      <w:color w:val="000000"/>
                    </w:rPr>
                  </w:pPr>
                  <w:r>
                    <w:rPr>
                      <w:rFonts w:ascii="Calibri" w:hAnsi="Calibri" w:cs="Calibri"/>
                      <w:color w:val="000000"/>
                    </w:rPr>
                    <w:t>313</w:t>
                  </w:r>
                  <w:r w:rsidR="00406E9E" w:rsidRPr="00471BEE">
                    <w:rPr>
                      <w:rFonts w:ascii="Calibri" w:hAnsi="Calibri" w:cs="Calibri"/>
                      <w:color w:val="000000"/>
                    </w:rPr>
                    <w:t xml:space="preserve"> acres</w:t>
                  </w:r>
                </w:p>
              </w:tc>
              <w:tc>
                <w:tcPr>
                  <w:tcW w:w="3610" w:type="pct"/>
                </w:tcPr>
                <w:p w14:paraId="1D8C5F3F" w14:textId="77777777" w:rsidR="00074BC8" w:rsidRPr="00471BEE" w:rsidRDefault="00074BC8" w:rsidP="00074BC8">
                  <w:pPr>
                    <w:pStyle w:val="PlainText"/>
                    <w:rPr>
                      <w:rFonts w:asciiTheme="minorHAnsi" w:hAnsiTheme="minorHAnsi" w:cstheme="minorHAnsi"/>
                      <w:sz w:val="22"/>
                      <w:szCs w:val="22"/>
                    </w:rPr>
                  </w:pPr>
                  <w:r>
                    <w:rPr>
                      <w:rFonts w:asciiTheme="minorHAnsi" w:hAnsiTheme="minorHAnsi" w:cstheme="minorHAnsi"/>
                      <w:sz w:val="22"/>
                      <w:szCs w:val="22"/>
                    </w:rPr>
                    <w:t>No harvest.</w:t>
                  </w:r>
                </w:p>
                <w:p w14:paraId="7ECDC11E" w14:textId="155C8854" w:rsidR="00406E9E" w:rsidRPr="00471BEE" w:rsidRDefault="00406E9E" w:rsidP="00406E9E">
                  <w:pPr>
                    <w:autoSpaceDE w:val="0"/>
                    <w:autoSpaceDN w:val="0"/>
                    <w:adjustRightInd w:val="0"/>
                    <w:spacing w:after="0" w:line="240" w:lineRule="auto"/>
                    <w:jc w:val="right"/>
                    <w:rPr>
                      <w:rFonts w:ascii="Calibri" w:hAnsi="Calibri" w:cs="Calibri"/>
                      <w:color w:val="000000"/>
                    </w:rPr>
                  </w:pPr>
                  <w:r w:rsidRPr="00471BEE">
                    <w:rPr>
                      <w:rFonts w:ascii="Calibri" w:hAnsi="Calibri" w:cs="Calibri"/>
                      <w:color w:val="000000"/>
                    </w:rPr>
                    <w:t xml:space="preserve">                 </w:t>
                  </w:r>
                </w:p>
              </w:tc>
            </w:tr>
            <w:tr w:rsidR="00406E9E" w:rsidRPr="00471BEE" w14:paraId="4F23007F" w14:textId="77777777" w:rsidTr="00271979">
              <w:trPr>
                <w:trHeight w:val="694"/>
              </w:trPr>
              <w:tc>
                <w:tcPr>
                  <w:tcW w:w="1390" w:type="pct"/>
                </w:tcPr>
                <w:p w14:paraId="38FA4CBE" w14:textId="2665A035" w:rsidR="00406E9E" w:rsidRPr="00471BEE" w:rsidRDefault="00406E9E" w:rsidP="00406E9E">
                  <w:pPr>
                    <w:autoSpaceDE w:val="0"/>
                    <w:autoSpaceDN w:val="0"/>
                    <w:adjustRightInd w:val="0"/>
                    <w:spacing w:after="0" w:line="240" w:lineRule="auto"/>
                    <w:rPr>
                      <w:rFonts w:ascii="Calibri" w:hAnsi="Calibri" w:cs="Calibri"/>
                      <w:color w:val="000000"/>
                    </w:rPr>
                  </w:pPr>
                  <w:r w:rsidRPr="00471BEE">
                    <w:rPr>
                      <w:rFonts w:ascii="Calibri" w:hAnsi="Calibri" w:cs="Calibri"/>
                      <w:color w:val="000000"/>
                    </w:rPr>
                    <w:t>HR_RG (SMZ)</w:t>
                  </w:r>
                </w:p>
                <w:p w14:paraId="00266F8E" w14:textId="2809DFDD" w:rsidR="00406E9E" w:rsidRPr="00471BEE" w:rsidRDefault="002F1DB9" w:rsidP="00406E9E">
                  <w:pPr>
                    <w:autoSpaceDE w:val="0"/>
                    <w:autoSpaceDN w:val="0"/>
                    <w:adjustRightInd w:val="0"/>
                    <w:spacing w:after="0" w:line="240" w:lineRule="auto"/>
                    <w:rPr>
                      <w:rFonts w:ascii="Calibri" w:hAnsi="Calibri" w:cs="Calibri"/>
                      <w:color w:val="000000"/>
                    </w:rPr>
                  </w:pPr>
                  <w:r>
                    <w:rPr>
                      <w:rFonts w:ascii="Calibri" w:hAnsi="Calibri" w:cs="Calibri"/>
                      <w:color w:val="000000"/>
                    </w:rPr>
                    <w:t>13</w:t>
                  </w:r>
                  <w:r w:rsidR="00406E9E" w:rsidRPr="00471BEE">
                    <w:rPr>
                      <w:rFonts w:ascii="Calibri" w:hAnsi="Calibri" w:cs="Calibri"/>
                      <w:color w:val="000000"/>
                    </w:rPr>
                    <w:t xml:space="preserve"> acres</w:t>
                  </w:r>
                </w:p>
              </w:tc>
              <w:tc>
                <w:tcPr>
                  <w:tcW w:w="3610" w:type="pct"/>
                </w:tcPr>
                <w:p w14:paraId="08F716AC" w14:textId="7403B833" w:rsidR="00406E9E" w:rsidRPr="00471BEE" w:rsidRDefault="00AB0A4A" w:rsidP="00406E9E">
                  <w:pPr>
                    <w:pStyle w:val="PlainText"/>
                    <w:rPr>
                      <w:rFonts w:asciiTheme="minorHAnsi" w:hAnsiTheme="minorHAnsi" w:cstheme="minorHAnsi"/>
                      <w:sz w:val="22"/>
                      <w:szCs w:val="22"/>
                    </w:rPr>
                  </w:pPr>
                  <w:r>
                    <w:rPr>
                      <w:rFonts w:asciiTheme="minorHAnsi" w:hAnsiTheme="minorHAnsi" w:cstheme="minorHAnsi"/>
                      <w:sz w:val="22"/>
                      <w:szCs w:val="22"/>
                    </w:rPr>
                    <w:t>Stand</w:t>
                  </w:r>
                  <w:r w:rsidR="00406E9E" w:rsidRPr="00471BEE">
                    <w:rPr>
                      <w:rFonts w:asciiTheme="minorHAnsi" w:hAnsiTheme="minorHAnsi" w:cstheme="minorHAnsi"/>
                      <w:sz w:val="22"/>
                      <w:szCs w:val="22"/>
                    </w:rPr>
                    <w:t xml:space="preserve">ID </w:t>
                  </w:r>
                  <w:r>
                    <w:rPr>
                      <w:rFonts w:asciiTheme="minorHAnsi" w:hAnsiTheme="minorHAnsi" w:cstheme="minorHAnsi"/>
                      <w:sz w:val="22"/>
                      <w:szCs w:val="22"/>
                    </w:rPr>
                    <w:t>HR_RG</w:t>
                  </w:r>
                  <w:r w:rsidR="00406E9E" w:rsidRPr="00471BEE">
                    <w:rPr>
                      <w:rFonts w:asciiTheme="minorHAnsi" w:hAnsiTheme="minorHAnsi" w:cstheme="minorHAnsi"/>
                      <w:sz w:val="22"/>
                      <w:szCs w:val="22"/>
                    </w:rPr>
                    <w:t>: No harvest.</w:t>
                  </w:r>
                </w:p>
                <w:p w14:paraId="5D92430C" w14:textId="055F2259" w:rsidR="00406E9E" w:rsidRPr="00471BEE" w:rsidRDefault="00406E9E" w:rsidP="00406E9E">
                  <w:pPr>
                    <w:autoSpaceDE w:val="0"/>
                    <w:autoSpaceDN w:val="0"/>
                    <w:adjustRightInd w:val="0"/>
                    <w:spacing w:after="0" w:line="240" w:lineRule="auto"/>
                    <w:jc w:val="right"/>
                    <w:rPr>
                      <w:rFonts w:ascii="Calibri" w:hAnsi="Calibri" w:cs="Calibri"/>
                      <w:color w:val="000000"/>
                    </w:rPr>
                  </w:pPr>
                  <w:r w:rsidRPr="00471BEE">
                    <w:rPr>
                      <w:rFonts w:ascii="Calibri" w:hAnsi="Calibri" w:cs="Calibri"/>
                      <w:color w:val="000000"/>
                    </w:rPr>
                    <w:t xml:space="preserve">                   </w:t>
                  </w:r>
                </w:p>
              </w:tc>
            </w:tr>
            <w:tr w:rsidR="00406E9E" w:rsidRPr="00471BEE" w14:paraId="12A23987" w14:textId="77777777" w:rsidTr="00271979">
              <w:trPr>
                <w:trHeight w:val="694"/>
              </w:trPr>
              <w:tc>
                <w:tcPr>
                  <w:tcW w:w="1390" w:type="pct"/>
                </w:tcPr>
                <w:p w14:paraId="00A7AE43" w14:textId="1CD0BBD0" w:rsidR="00406E9E" w:rsidRPr="00471BEE" w:rsidRDefault="00406E9E" w:rsidP="00406E9E">
                  <w:pPr>
                    <w:autoSpaceDE w:val="0"/>
                    <w:autoSpaceDN w:val="0"/>
                    <w:adjustRightInd w:val="0"/>
                    <w:spacing w:after="0" w:line="240" w:lineRule="auto"/>
                    <w:rPr>
                      <w:rFonts w:ascii="Calibri" w:hAnsi="Calibri" w:cs="Calibri"/>
                      <w:color w:val="000000"/>
                    </w:rPr>
                  </w:pPr>
                  <w:r w:rsidRPr="00471BEE">
                    <w:rPr>
                      <w:rFonts w:ascii="Calibri" w:hAnsi="Calibri" w:cs="Calibri"/>
                      <w:color w:val="000000"/>
                    </w:rPr>
                    <w:t>HR_PI (SMZ)</w:t>
                  </w:r>
                </w:p>
                <w:p w14:paraId="0CD6E7E6" w14:textId="68D5727A" w:rsidR="00406E9E" w:rsidRPr="00471BEE" w:rsidRDefault="003E73DA" w:rsidP="00406E9E">
                  <w:pPr>
                    <w:autoSpaceDE w:val="0"/>
                    <w:autoSpaceDN w:val="0"/>
                    <w:adjustRightInd w:val="0"/>
                    <w:spacing w:after="0" w:line="240" w:lineRule="auto"/>
                    <w:rPr>
                      <w:rFonts w:ascii="Calibri" w:hAnsi="Calibri" w:cs="Calibri"/>
                      <w:color w:val="000000"/>
                    </w:rPr>
                  </w:pPr>
                  <w:r>
                    <w:rPr>
                      <w:rFonts w:ascii="Calibri" w:hAnsi="Calibri" w:cs="Calibri"/>
                      <w:color w:val="000000"/>
                    </w:rPr>
                    <w:t>28</w:t>
                  </w:r>
                  <w:r w:rsidR="00406E9E" w:rsidRPr="00471BEE">
                    <w:rPr>
                      <w:rFonts w:ascii="Calibri" w:hAnsi="Calibri" w:cs="Calibri"/>
                      <w:color w:val="000000"/>
                    </w:rPr>
                    <w:t xml:space="preserve"> acres</w:t>
                  </w:r>
                </w:p>
              </w:tc>
              <w:tc>
                <w:tcPr>
                  <w:tcW w:w="3610" w:type="pct"/>
                </w:tcPr>
                <w:p w14:paraId="732B6301" w14:textId="77777777" w:rsidR="00074BC8" w:rsidRPr="00471BEE" w:rsidRDefault="00074BC8" w:rsidP="00074BC8">
                  <w:pPr>
                    <w:pStyle w:val="PlainText"/>
                    <w:rPr>
                      <w:rFonts w:asciiTheme="minorHAnsi" w:hAnsiTheme="minorHAnsi" w:cstheme="minorHAnsi"/>
                      <w:sz w:val="22"/>
                      <w:szCs w:val="22"/>
                    </w:rPr>
                  </w:pPr>
                  <w:r>
                    <w:rPr>
                      <w:rFonts w:asciiTheme="minorHAnsi" w:hAnsiTheme="minorHAnsi" w:cstheme="minorHAnsi"/>
                      <w:sz w:val="22"/>
                      <w:szCs w:val="22"/>
                    </w:rPr>
                    <w:t>No harvest.</w:t>
                  </w:r>
                </w:p>
                <w:p w14:paraId="2B8B1B47" w14:textId="12A53137" w:rsidR="00406E9E" w:rsidRPr="00471BEE" w:rsidRDefault="00406E9E" w:rsidP="00406E9E">
                  <w:pPr>
                    <w:autoSpaceDE w:val="0"/>
                    <w:autoSpaceDN w:val="0"/>
                    <w:adjustRightInd w:val="0"/>
                    <w:spacing w:after="0" w:line="240" w:lineRule="auto"/>
                    <w:jc w:val="right"/>
                    <w:rPr>
                      <w:rFonts w:ascii="Calibri" w:hAnsi="Calibri" w:cs="Calibri"/>
                      <w:color w:val="000000"/>
                    </w:rPr>
                  </w:pPr>
                  <w:r w:rsidRPr="00471BEE">
                    <w:rPr>
                      <w:rFonts w:ascii="Calibri" w:hAnsi="Calibri" w:cs="Calibri"/>
                      <w:color w:val="000000"/>
                    </w:rPr>
                    <w:t xml:space="preserve">                    </w:t>
                  </w:r>
                </w:p>
              </w:tc>
            </w:tr>
            <w:tr w:rsidR="00406E9E" w14:paraId="77B96735" w14:textId="77777777" w:rsidTr="00271979">
              <w:trPr>
                <w:trHeight w:val="694"/>
              </w:trPr>
              <w:tc>
                <w:tcPr>
                  <w:tcW w:w="1390" w:type="pct"/>
                </w:tcPr>
                <w:p w14:paraId="23072A9A" w14:textId="3B8A4B64" w:rsidR="00406E9E" w:rsidRPr="00471BEE" w:rsidRDefault="00406E9E" w:rsidP="00406E9E">
                  <w:pPr>
                    <w:autoSpaceDE w:val="0"/>
                    <w:autoSpaceDN w:val="0"/>
                    <w:adjustRightInd w:val="0"/>
                    <w:spacing w:after="0" w:line="240" w:lineRule="auto"/>
                    <w:rPr>
                      <w:rFonts w:ascii="Calibri" w:hAnsi="Calibri" w:cs="Calibri"/>
                      <w:color w:val="000000"/>
                    </w:rPr>
                  </w:pPr>
                  <w:r w:rsidRPr="00471BEE">
                    <w:rPr>
                      <w:rFonts w:ascii="Calibri" w:hAnsi="Calibri" w:cs="Calibri"/>
                      <w:color w:val="000000"/>
                    </w:rPr>
                    <w:t>HR_HW (SMZ)</w:t>
                  </w:r>
                </w:p>
                <w:p w14:paraId="7485B580" w14:textId="430EE7ED" w:rsidR="00406E9E" w:rsidRPr="00471BEE" w:rsidRDefault="003E73DA" w:rsidP="00406E9E">
                  <w:pPr>
                    <w:autoSpaceDE w:val="0"/>
                    <w:autoSpaceDN w:val="0"/>
                    <w:adjustRightInd w:val="0"/>
                    <w:spacing w:after="0" w:line="240" w:lineRule="auto"/>
                    <w:rPr>
                      <w:rFonts w:ascii="Calibri" w:hAnsi="Calibri" w:cs="Calibri"/>
                      <w:color w:val="000000"/>
                    </w:rPr>
                  </w:pPr>
                  <w:r>
                    <w:rPr>
                      <w:rFonts w:ascii="Calibri" w:hAnsi="Calibri" w:cs="Calibri"/>
                      <w:color w:val="000000"/>
                    </w:rPr>
                    <w:t>44</w:t>
                  </w:r>
                  <w:r w:rsidR="00406E9E" w:rsidRPr="00471BEE">
                    <w:rPr>
                      <w:rFonts w:ascii="Calibri" w:hAnsi="Calibri" w:cs="Calibri"/>
                      <w:color w:val="000000"/>
                    </w:rPr>
                    <w:t xml:space="preserve"> acres</w:t>
                  </w:r>
                </w:p>
              </w:tc>
              <w:tc>
                <w:tcPr>
                  <w:tcW w:w="3610" w:type="pct"/>
                </w:tcPr>
                <w:p w14:paraId="2616AF24" w14:textId="77777777" w:rsidR="00074BC8" w:rsidRPr="00471BEE" w:rsidRDefault="00074BC8" w:rsidP="00074BC8">
                  <w:pPr>
                    <w:pStyle w:val="PlainText"/>
                    <w:rPr>
                      <w:rFonts w:asciiTheme="minorHAnsi" w:hAnsiTheme="minorHAnsi" w:cstheme="minorHAnsi"/>
                      <w:sz w:val="22"/>
                      <w:szCs w:val="22"/>
                    </w:rPr>
                  </w:pPr>
                  <w:r>
                    <w:rPr>
                      <w:rFonts w:asciiTheme="minorHAnsi" w:hAnsiTheme="minorHAnsi" w:cstheme="minorHAnsi"/>
                      <w:sz w:val="22"/>
                      <w:szCs w:val="22"/>
                    </w:rPr>
                    <w:t>No harvest.</w:t>
                  </w:r>
                </w:p>
                <w:p w14:paraId="4890D7F3" w14:textId="37AF7D27" w:rsidR="00406E9E" w:rsidRDefault="00406E9E" w:rsidP="00406E9E">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w:t>
                  </w:r>
                </w:p>
              </w:tc>
            </w:tr>
          </w:tbl>
          <w:p w14:paraId="43F02C13" w14:textId="77777777" w:rsidR="007344DF" w:rsidRPr="00F3686B" w:rsidRDefault="007344DF" w:rsidP="00A16F26"/>
        </w:tc>
      </w:tr>
    </w:tbl>
    <w:p w14:paraId="2F6203C4" w14:textId="2C1CF619" w:rsidR="007344DF" w:rsidRPr="006F579B" w:rsidRDefault="007344DF" w:rsidP="007344DF"/>
    <w:p w14:paraId="5E375476" w14:textId="77777777" w:rsidR="007344DF" w:rsidRPr="00400DFF" w:rsidRDefault="007344DF" w:rsidP="007344DF">
      <w:pPr>
        <w:rPr>
          <w:i/>
        </w:rPr>
      </w:pPr>
      <w:r w:rsidRPr="007904D2">
        <w:rPr>
          <w:i/>
        </w:rPr>
        <w:t>Baseline projections</w:t>
      </w:r>
    </w:p>
    <w:p w14:paraId="7EC9EC0E" w14:textId="18BB776F" w:rsidR="007344DF" w:rsidRDefault="007344DF" w:rsidP="007344DF">
      <w:pPr>
        <w:tabs>
          <w:tab w:val="left" w:pos="8820"/>
        </w:tabs>
      </w:pPr>
      <w:r>
        <w:t>T</w:t>
      </w:r>
      <w:r w:rsidRPr="008D4DFD">
        <w:t xml:space="preserve">he scenarios above were projected in </w:t>
      </w:r>
      <w:r w:rsidR="00920365">
        <w:t>FVS-SN</w:t>
      </w:r>
      <w:r>
        <w:t xml:space="preserve"> for the period </w:t>
      </w:r>
      <w:r w:rsidR="00EB00A8">
        <w:t>2020 to 2039</w:t>
      </w:r>
      <w:r w:rsidRPr="008D4DFD">
        <w:t>. Projections were annualized using linear interpolation (</w:t>
      </w:r>
      <w:r w:rsidR="00920365">
        <w:t>FVS-SN</w:t>
      </w:r>
      <w:r>
        <w:t xml:space="preserve"> </w:t>
      </w:r>
      <w:r w:rsidR="00DE3DCD">
        <w:t>produces projections in 5</w:t>
      </w:r>
      <w:r w:rsidRPr="008D4DFD">
        <w:t xml:space="preserve"> year cycles)</w:t>
      </w:r>
      <w:r>
        <w:t xml:space="preserve">; </w:t>
      </w:r>
      <w:r w:rsidRPr="008D4EDB">
        <w:t xml:space="preserve">see </w:t>
      </w:r>
      <w:r w:rsidRPr="008D4EDB">
        <w:rPr>
          <w:rFonts w:cstheme="minorHAnsi"/>
        </w:rPr>
        <w:t>“</w:t>
      </w:r>
      <w:r w:rsidR="005A693B" w:rsidRPr="005A693B">
        <w:rPr>
          <w:rFonts w:cstheme="minorHAnsi"/>
        </w:rPr>
        <w:t>UTK FVS BSL REV Stand C</w:t>
      </w:r>
      <w:r w:rsidRPr="008D4EDB">
        <w:rPr>
          <w:rFonts w:cstheme="minorHAnsi"/>
        </w:rPr>
        <w:t>.xls</w:t>
      </w:r>
      <w:r>
        <w:rPr>
          <w:rFonts w:cstheme="minorHAnsi"/>
        </w:rPr>
        <w:t>”.</w:t>
      </w:r>
      <w:r>
        <w:t xml:space="preserve"> Direct biomass c</w:t>
      </w:r>
      <w:r w:rsidRPr="008D4DFD">
        <w:t xml:space="preserve">arbon estimates for live trees </w:t>
      </w:r>
      <w:r>
        <w:t xml:space="preserve">were output via FVS FFE carbon reports, using Jenkins et al 2003 biomass predictions in metric tons of carbon per acre, matching the calculations applied to the forest inventory measurements. </w:t>
      </w:r>
    </w:p>
    <w:p w14:paraId="336B9633" w14:textId="1CE6A257" w:rsidR="007F5CB9" w:rsidRDefault="007F5CB9" w:rsidP="007344DF">
      <w:pPr>
        <w:tabs>
          <w:tab w:val="left" w:pos="8820"/>
        </w:tabs>
      </w:pPr>
      <w:r w:rsidRPr="009C2B07">
        <w:t xml:space="preserve">To improve alignment of FVS FFE outputs with the forest inventory calculations, Jenkins et al 2003-derived FVS FEE live tree biomass </w:t>
      </w:r>
      <w:r w:rsidR="00692CDF" w:rsidRPr="009C2B07">
        <w:t xml:space="preserve">projections </w:t>
      </w:r>
      <w:r w:rsidRPr="009C2B07">
        <w:t xml:space="preserve">(solely based on dbh) were adjusted for defect, by applying </w:t>
      </w:r>
      <w:r w:rsidR="00692CDF" w:rsidRPr="009C2B07">
        <w:t xml:space="preserve">average </w:t>
      </w:r>
      <w:r w:rsidRPr="009C2B07">
        <w:t xml:space="preserve">percent defect (by stratum) derived from the </w:t>
      </w:r>
      <w:r w:rsidR="00EB00A8">
        <w:t xml:space="preserve">2020 </w:t>
      </w:r>
      <w:r w:rsidRPr="009C2B07">
        <w:t xml:space="preserve">inventory data (Table </w:t>
      </w:r>
      <w:r w:rsidR="000542CB">
        <w:t>E7</w:t>
      </w:r>
      <w:r w:rsidRPr="009C2B07">
        <w:t>;</w:t>
      </w:r>
      <w:r>
        <w:t xml:space="preserve"> “</w:t>
      </w:r>
      <w:r w:rsidR="00EB00A8" w:rsidRPr="00EB00A8">
        <w:t>UTK inventory calcs and stats</w:t>
      </w:r>
      <w:r w:rsidR="003D62CA">
        <w:t xml:space="preserve"> </w:t>
      </w:r>
      <w:r w:rsidR="00F2281B">
        <w:t>*</w:t>
      </w:r>
      <w:r w:rsidR="003D62CA">
        <w:t>.xlsx</w:t>
      </w:r>
      <w:r>
        <w:t>”)</w:t>
      </w:r>
      <w:r w:rsidR="00C60533">
        <w:t>, assuming incidence of defect is constant through the projection period</w:t>
      </w:r>
      <w:r>
        <w:t>.</w:t>
      </w:r>
    </w:p>
    <w:p w14:paraId="091F5F4F" w14:textId="59812BB3" w:rsidR="007F5CB9" w:rsidRPr="00F11077" w:rsidRDefault="0078796B" w:rsidP="007344DF">
      <w:pPr>
        <w:tabs>
          <w:tab w:val="left" w:pos="8820"/>
        </w:tabs>
        <w:rPr>
          <w:b/>
        </w:rPr>
      </w:pPr>
      <w:r w:rsidRPr="0078796B">
        <w:rPr>
          <w:b/>
        </w:rPr>
        <w:t>Table E</w:t>
      </w:r>
      <w:r w:rsidR="000542CB">
        <w:rPr>
          <w:b/>
        </w:rPr>
        <w:t>7</w:t>
      </w:r>
      <w:r w:rsidRPr="0078796B">
        <w:rPr>
          <w:b/>
        </w:rPr>
        <w:t>.</w:t>
      </w:r>
      <w:r>
        <w:rPr>
          <w:b/>
        </w:rPr>
        <w:t xml:space="preserve"> Overall </w:t>
      </w:r>
      <w:r w:rsidR="00684B03">
        <w:rPr>
          <w:b/>
        </w:rPr>
        <w:t xml:space="preserve">percent </w:t>
      </w:r>
      <w:r>
        <w:rPr>
          <w:b/>
        </w:rPr>
        <w:t xml:space="preserve">defect in live above- and belowground tree biomass, derived from </w:t>
      </w:r>
      <w:r w:rsidR="00EB00A8">
        <w:rPr>
          <w:b/>
        </w:rPr>
        <w:t xml:space="preserve">2020 </w:t>
      </w:r>
      <w:r>
        <w:rPr>
          <w:b/>
        </w:rPr>
        <w:t>inventory 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5"/>
        <w:gridCol w:w="4675"/>
      </w:tblGrid>
      <w:tr w:rsidR="00F11077" w14:paraId="673254C3" w14:textId="77777777" w:rsidTr="00F11077">
        <w:trPr>
          <w:trHeight w:val="290"/>
        </w:trPr>
        <w:tc>
          <w:tcPr>
            <w:tcW w:w="2500" w:type="pct"/>
          </w:tcPr>
          <w:p w14:paraId="306F1549" w14:textId="645A2A34" w:rsidR="00F11077" w:rsidRPr="00F11077" w:rsidRDefault="00F11077" w:rsidP="00F11077">
            <w:pPr>
              <w:autoSpaceDE w:val="0"/>
              <w:autoSpaceDN w:val="0"/>
              <w:adjustRightInd w:val="0"/>
              <w:spacing w:after="0" w:line="240" w:lineRule="auto"/>
              <w:rPr>
                <w:rFonts w:ascii="Calibri" w:hAnsi="Calibri" w:cs="Calibri"/>
                <w:b/>
                <w:color w:val="000000"/>
              </w:rPr>
            </w:pPr>
            <w:r w:rsidRPr="00F11077">
              <w:rPr>
                <w:rFonts w:ascii="Calibri" w:hAnsi="Calibri" w:cs="Calibri"/>
                <w:b/>
                <w:color w:val="000000"/>
              </w:rPr>
              <w:t>Stratum</w:t>
            </w:r>
          </w:p>
        </w:tc>
        <w:tc>
          <w:tcPr>
            <w:tcW w:w="2500" w:type="pct"/>
          </w:tcPr>
          <w:p w14:paraId="49373D2A" w14:textId="67FAA03A" w:rsidR="00F11077" w:rsidRPr="00F11077" w:rsidRDefault="00F11077" w:rsidP="00F11077">
            <w:pPr>
              <w:autoSpaceDE w:val="0"/>
              <w:autoSpaceDN w:val="0"/>
              <w:adjustRightInd w:val="0"/>
              <w:spacing w:after="0" w:line="240" w:lineRule="auto"/>
              <w:rPr>
                <w:rFonts w:ascii="Calibri" w:hAnsi="Calibri" w:cs="Calibri"/>
                <w:b/>
                <w:color w:val="000000"/>
              </w:rPr>
            </w:pPr>
            <w:r w:rsidRPr="00F11077">
              <w:rPr>
                <w:rFonts w:ascii="Calibri" w:hAnsi="Calibri" w:cs="Calibri"/>
                <w:b/>
                <w:color w:val="000000"/>
              </w:rPr>
              <w:t>Average % defect ABGB live t CO2/ac</w:t>
            </w:r>
          </w:p>
        </w:tc>
      </w:tr>
      <w:tr w:rsidR="00DB7127" w14:paraId="71D3E0D2" w14:textId="77777777" w:rsidTr="00130DE6">
        <w:trPr>
          <w:trHeight w:val="290"/>
        </w:trPr>
        <w:tc>
          <w:tcPr>
            <w:tcW w:w="2500" w:type="pct"/>
          </w:tcPr>
          <w:p w14:paraId="10EABB3F" w14:textId="77777777" w:rsidR="00DB7127" w:rsidRDefault="00DB7127" w:rsidP="00DB7127">
            <w:pPr>
              <w:autoSpaceDE w:val="0"/>
              <w:autoSpaceDN w:val="0"/>
              <w:adjustRightInd w:val="0"/>
              <w:spacing w:after="0" w:line="240" w:lineRule="auto"/>
              <w:rPr>
                <w:rFonts w:ascii="Calibri" w:hAnsi="Calibri" w:cs="Calibri"/>
                <w:color w:val="000000"/>
              </w:rPr>
            </w:pPr>
            <w:r>
              <w:rPr>
                <w:rFonts w:ascii="Calibri" w:hAnsi="Calibri" w:cs="Calibri"/>
                <w:color w:val="000000"/>
              </w:rPr>
              <w:t>CN</w:t>
            </w:r>
          </w:p>
        </w:tc>
        <w:tc>
          <w:tcPr>
            <w:tcW w:w="2500" w:type="pct"/>
            <w:vAlign w:val="bottom"/>
          </w:tcPr>
          <w:p w14:paraId="135CFFF4" w14:textId="1E5298C9" w:rsidR="00DB7127" w:rsidRDefault="00DB7127" w:rsidP="00DB7127">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1.4%</w:t>
            </w:r>
          </w:p>
        </w:tc>
      </w:tr>
      <w:tr w:rsidR="00DB7127" w14:paraId="55B75FDC" w14:textId="77777777" w:rsidTr="00130DE6">
        <w:trPr>
          <w:trHeight w:val="290"/>
        </w:trPr>
        <w:tc>
          <w:tcPr>
            <w:tcW w:w="2500" w:type="pct"/>
          </w:tcPr>
          <w:p w14:paraId="6864C66E" w14:textId="77777777" w:rsidR="00DB7127" w:rsidRDefault="00DB7127" w:rsidP="00DB7127">
            <w:pPr>
              <w:autoSpaceDE w:val="0"/>
              <w:autoSpaceDN w:val="0"/>
              <w:adjustRightInd w:val="0"/>
              <w:spacing w:after="0" w:line="240" w:lineRule="auto"/>
              <w:rPr>
                <w:rFonts w:ascii="Calibri" w:hAnsi="Calibri" w:cs="Calibri"/>
                <w:color w:val="000000"/>
              </w:rPr>
            </w:pPr>
            <w:r>
              <w:rPr>
                <w:rFonts w:ascii="Calibri" w:hAnsi="Calibri" w:cs="Calibri"/>
                <w:color w:val="000000"/>
              </w:rPr>
              <w:t>CS</w:t>
            </w:r>
          </w:p>
        </w:tc>
        <w:tc>
          <w:tcPr>
            <w:tcW w:w="2500" w:type="pct"/>
            <w:vAlign w:val="bottom"/>
          </w:tcPr>
          <w:p w14:paraId="42D73920" w14:textId="083021B0" w:rsidR="00DB7127" w:rsidRDefault="00DB7127" w:rsidP="00DB7127">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1.3%</w:t>
            </w:r>
          </w:p>
        </w:tc>
      </w:tr>
      <w:tr w:rsidR="00DB7127" w14:paraId="119F9D3F" w14:textId="77777777" w:rsidTr="00130DE6">
        <w:trPr>
          <w:trHeight w:val="290"/>
        </w:trPr>
        <w:tc>
          <w:tcPr>
            <w:tcW w:w="2500" w:type="pct"/>
          </w:tcPr>
          <w:p w14:paraId="14806FDF" w14:textId="5227172B" w:rsidR="00DB7127" w:rsidRDefault="00DB7127" w:rsidP="00DB7127">
            <w:pPr>
              <w:autoSpaceDE w:val="0"/>
              <w:autoSpaceDN w:val="0"/>
              <w:adjustRightInd w:val="0"/>
              <w:spacing w:after="0" w:line="240" w:lineRule="auto"/>
              <w:rPr>
                <w:rFonts w:ascii="Calibri" w:hAnsi="Calibri" w:cs="Calibri"/>
                <w:color w:val="000000"/>
              </w:rPr>
            </w:pPr>
            <w:r>
              <w:rPr>
                <w:rFonts w:ascii="Calibri" w:hAnsi="Calibri" w:cs="Calibri"/>
                <w:color w:val="000000"/>
              </w:rPr>
              <w:t>OR</w:t>
            </w:r>
          </w:p>
        </w:tc>
        <w:tc>
          <w:tcPr>
            <w:tcW w:w="2500" w:type="pct"/>
            <w:vAlign w:val="bottom"/>
          </w:tcPr>
          <w:p w14:paraId="1E508233" w14:textId="5BF0F10A" w:rsidR="00DB7127" w:rsidRDefault="00DB7127" w:rsidP="00DB7127">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0.2%</w:t>
            </w:r>
          </w:p>
        </w:tc>
      </w:tr>
      <w:tr w:rsidR="00DB7127" w14:paraId="5D755453" w14:textId="77777777" w:rsidTr="00130DE6">
        <w:trPr>
          <w:trHeight w:val="290"/>
        </w:trPr>
        <w:tc>
          <w:tcPr>
            <w:tcW w:w="2500" w:type="pct"/>
          </w:tcPr>
          <w:p w14:paraId="76E54F96" w14:textId="77777777" w:rsidR="00DB7127" w:rsidRDefault="00DB7127" w:rsidP="00DB7127">
            <w:pPr>
              <w:autoSpaceDE w:val="0"/>
              <w:autoSpaceDN w:val="0"/>
              <w:adjustRightInd w:val="0"/>
              <w:spacing w:after="0" w:line="240" w:lineRule="auto"/>
              <w:rPr>
                <w:rFonts w:ascii="Calibri" w:hAnsi="Calibri" w:cs="Calibri"/>
                <w:color w:val="000000"/>
              </w:rPr>
            </w:pPr>
            <w:r>
              <w:rPr>
                <w:rFonts w:ascii="Calibri" w:hAnsi="Calibri" w:cs="Calibri"/>
                <w:color w:val="000000"/>
              </w:rPr>
              <w:t>HR_HW</w:t>
            </w:r>
          </w:p>
        </w:tc>
        <w:tc>
          <w:tcPr>
            <w:tcW w:w="2500" w:type="pct"/>
            <w:vAlign w:val="bottom"/>
          </w:tcPr>
          <w:p w14:paraId="700A7D49" w14:textId="7229BBAD" w:rsidR="00DB7127" w:rsidRDefault="00DB7127" w:rsidP="00DB7127">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0.1%</w:t>
            </w:r>
          </w:p>
        </w:tc>
      </w:tr>
      <w:tr w:rsidR="00DB7127" w14:paraId="0C0CBB50" w14:textId="77777777" w:rsidTr="00130DE6">
        <w:trPr>
          <w:trHeight w:val="290"/>
        </w:trPr>
        <w:tc>
          <w:tcPr>
            <w:tcW w:w="2500" w:type="pct"/>
          </w:tcPr>
          <w:p w14:paraId="7930E943" w14:textId="77777777" w:rsidR="00DB7127" w:rsidRDefault="00DB7127" w:rsidP="00DB7127">
            <w:pPr>
              <w:autoSpaceDE w:val="0"/>
              <w:autoSpaceDN w:val="0"/>
              <w:adjustRightInd w:val="0"/>
              <w:spacing w:after="0" w:line="240" w:lineRule="auto"/>
              <w:rPr>
                <w:rFonts w:ascii="Calibri" w:hAnsi="Calibri" w:cs="Calibri"/>
                <w:color w:val="000000"/>
              </w:rPr>
            </w:pPr>
            <w:r>
              <w:rPr>
                <w:rFonts w:ascii="Calibri" w:hAnsi="Calibri" w:cs="Calibri"/>
                <w:color w:val="000000"/>
              </w:rPr>
              <w:t>HR_PI</w:t>
            </w:r>
          </w:p>
        </w:tc>
        <w:tc>
          <w:tcPr>
            <w:tcW w:w="2500" w:type="pct"/>
            <w:vAlign w:val="bottom"/>
          </w:tcPr>
          <w:p w14:paraId="35F17B1C" w14:textId="3678AD5E" w:rsidR="00DB7127" w:rsidRDefault="00DB7127" w:rsidP="00DB7127">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0.6%</w:t>
            </w:r>
          </w:p>
        </w:tc>
      </w:tr>
      <w:tr w:rsidR="00F11077" w14:paraId="5F1E61DF" w14:textId="77777777" w:rsidTr="00F11077">
        <w:trPr>
          <w:trHeight w:val="290"/>
        </w:trPr>
        <w:tc>
          <w:tcPr>
            <w:tcW w:w="2500" w:type="pct"/>
          </w:tcPr>
          <w:p w14:paraId="5F7AB33E" w14:textId="73A0F2BD" w:rsidR="00F11077" w:rsidRDefault="00F11077" w:rsidP="00F11077">
            <w:pPr>
              <w:autoSpaceDE w:val="0"/>
              <w:autoSpaceDN w:val="0"/>
              <w:adjustRightInd w:val="0"/>
              <w:spacing w:after="0" w:line="240" w:lineRule="auto"/>
              <w:rPr>
                <w:rFonts w:ascii="Calibri" w:hAnsi="Calibri" w:cs="Calibri"/>
                <w:color w:val="000000"/>
              </w:rPr>
            </w:pPr>
            <w:r>
              <w:rPr>
                <w:rFonts w:ascii="Calibri" w:hAnsi="Calibri" w:cs="Calibri"/>
                <w:color w:val="000000"/>
              </w:rPr>
              <w:t>HR_RG</w:t>
            </w:r>
          </w:p>
        </w:tc>
        <w:tc>
          <w:tcPr>
            <w:tcW w:w="2500" w:type="pct"/>
          </w:tcPr>
          <w:p w14:paraId="5A5A8E9F" w14:textId="585119E1" w:rsidR="00F11077" w:rsidRDefault="00F11077" w:rsidP="00F11077">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(Assumed) 0.1%*</w:t>
            </w:r>
          </w:p>
        </w:tc>
      </w:tr>
    </w:tbl>
    <w:p w14:paraId="52315B20" w14:textId="0F23558B" w:rsidR="00F11077" w:rsidRDefault="00F11077" w:rsidP="007344DF">
      <w:pPr>
        <w:tabs>
          <w:tab w:val="left" w:pos="8820"/>
        </w:tabs>
      </w:pPr>
      <w:r>
        <w:t>*conservatively applying the lowest estimated defect (=higher stocks in the baseline) in the un-inventoried HR_RG stratum</w:t>
      </w:r>
    </w:p>
    <w:p w14:paraId="62A2B786" w14:textId="3CFBA85F" w:rsidR="007344DF" w:rsidRPr="00E0108C" w:rsidRDefault="007344DF" w:rsidP="009B2516">
      <w:pPr>
        <w:pStyle w:val="PlainText"/>
        <w:spacing w:line="276" w:lineRule="auto"/>
        <w:rPr>
          <w:rFonts w:asciiTheme="minorHAnsi" w:hAnsiTheme="minorHAnsi" w:cstheme="minorHAnsi"/>
          <w:sz w:val="22"/>
          <w:szCs w:val="22"/>
        </w:rPr>
      </w:pPr>
      <w:r>
        <w:rPr>
          <w:rFonts w:asciiTheme="minorHAnsi" w:hAnsiTheme="minorHAnsi" w:cstheme="minorHAnsi"/>
          <w:sz w:val="22"/>
          <w:szCs w:val="22"/>
        </w:rPr>
        <w:t>S</w:t>
      </w:r>
      <w:r w:rsidRPr="00E0108C">
        <w:rPr>
          <w:rFonts w:asciiTheme="minorHAnsi" w:hAnsiTheme="minorHAnsi" w:cstheme="minorHAnsi"/>
          <w:sz w:val="22"/>
          <w:szCs w:val="22"/>
        </w:rPr>
        <w:t xml:space="preserve">tanding dead wood </w:t>
      </w:r>
      <w:r>
        <w:rPr>
          <w:rFonts w:asciiTheme="minorHAnsi" w:hAnsiTheme="minorHAnsi" w:cstheme="minorHAnsi"/>
          <w:sz w:val="22"/>
          <w:szCs w:val="22"/>
        </w:rPr>
        <w:t xml:space="preserve">was </w:t>
      </w:r>
      <w:r w:rsidRPr="00E0108C">
        <w:rPr>
          <w:rFonts w:asciiTheme="minorHAnsi" w:hAnsiTheme="minorHAnsi" w:cstheme="minorHAnsi"/>
          <w:sz w:val="22"/>
          <w:szCs w:val="22"/>
        </w:rPr>
        <w:t xml:space="preserve">modeled using the Fire and Fuels Extension of FVS (FVS FFE) to produce </w:t>
      </w:r>
      <w:r>
        <w:rPr>
          <w:rFonts w:asciiTheme="minorHAnsi" w:hAnsiTheme="minorHAnsi" w:cstheme="minorHAnsi"/>
          <w:sz w:val="22"/>
          <w:szCs w:val="22"/>
        </w:rPr>
        <w:t xml:space="preserve">detailed </w:t>
      </w:r>
      <w:r w:rsidRPr="00E0108C">
        <w:rPr>
          <w:rFonts w:asciiTheme="minorHAnsi" w:hAnsiTheme="minorHAnsi" w:cstheme="minorHAnsi"/>
          <w:sz w:val="22"/>
          <w:szCs w:val="22"/>
        </w:rPr>
        <w:t xml:space="preserve">snag lists for each model cycle. Biomass carbon of each snag was estimated using model output cubic foot volumes of hard and soft components of dead wood, multiplied by dead wood density. </w:t>
      </w:r>
      <w:r>
        <w:rPr>
          <w:rFonts w:asciiTheme="minorHAnsi" w:hAnsiTheme="minorHAnsi" w:cstheme="minorHAnsi"/>
          <w:sz w:val="22"/>
          <w:szCs w:val="22"/>
        </w:rPr>
        <w:t>Dead wood densities were</w:t>
      </w:r>
      <w:r w:rsidRPr="00B30CF4">
        <w:rPr>
          <w:rFonts w:asciiTheme="minorHAnsi" w:hAnsiTheme="minorHAnsi" w:cstheme="minorHAnsi"/>
          <w:sz w:val="22"/>
          <w:szCs w:val="22"/>
        </w:rPr>
        <w:t xml:space="preserve"> </w:t>
      </w:r>
      <w:r w:rsidR="00C76559" w:rsidRPr="00C76559">
        <w:rPr>
          <w:rFonts w:asciiTheme="minorHAnsi" w:hAnsiTheme="minorHAnsi" w:cstheme="minorHAnsi"/>
          <w:sz w:val="22"/>
          <w:szCs w:val="22"/>
        </w:rPr>
        <w:t xml:space="preserve">sourced from </w:t>
      </w:r>
      <w:r w:rsidR="00C76559">
        <w:rPr>
          <w:rFonts w:asciiTheme="minorHAnsi" w:hAnsiTheme="minorHAnsi" w:cstheme="minorHAnsi"/>
          <w:sz w:val="22"/>
          <w:szCs w:val="22"/>
        </w:rPr>
        <w:t xml:space="preserve">the </w:t>
      </w:r>
      <w:r w:rsidR="00C76559" w:rsidRPr="00C76559">
        <w:rPr>
          <w:rFonts w:asciiTheme="minorHAnsi" w:hAnsiTheme="minorHAnsi" w:cstheme="minorHAnsi"/>
          <w:sz w:val="22"/>
          <w:szCs w:val="22"/>
        </w:rPr>
        <w:t xml:space="preserve">California Air Resources Board database “REF_SPECIES.xls”, predominately sourced from the </w:t>
      </w:r>
      <w:r w:rsidR="00C76559">
        <w:rPr>
          <w:rFonts w:asciiTheme="minorHAnsi" w:hAnsiTheme="minorHAnsi" w:cstheme="minorHAnsi"/>
          <w:sz w:val="22"/>
          <w:szCs w:val="22"/>
        </w:rPr>
        <w:t>USFS Wood Handbook 2010</w:t>
      </w:r>
      <w:r>
        <w:rPr>
          <w:rFonts w:asciiTheme="minorHAnsi" w:hAnsiTheme="minorHAnsi" w:cstheme="minorHAnsi"/>
          <w:sz w:val="22"/>
          <w:szCs w:val="22"/>
        </w:rPr>
        <w:t xml:space="preserve">, </w:t>
      </w:r>
      <w:r w:rsidRPr="00E0108C">
        <w:rPr>
          <w:rFonts w:asciiTheme="minorHAnsi" w:hAnsiTheme="minorHAnsi" w:cstheme="minorHAnsi"/>
          <w:sz w:val="22"/>
          <w:szCs w:val="22"/>
        </w:rPr>
        <w:t>and incorporated deductions for decay classes corresponding to the hard and soft dead wood components output from the FVS FFE model, and summarized in the table below.</w:t>
      </w:r>
      <w:r>
        <w:rPr>
          <w:rFonts w:asciiTheme="minorHAnsi" w:hAnsiTheme="minorHAnsi" w:cstheme="minorHAnsi"/>
          <w:sz w:val="22"/>
          <w:szCs w:val="22"/>
        </w:rPr>
        <w:t xml:space="preserve"> Standing </w:t>
      </w:r>
      <w:r w:rsidRPr="00D41DDD">
        <w:rPr>
          <w:rFonts w:asciiTheme="minorHAnsi" w:hAnsiTheme="minorHAnsi" w:cstheme="minorHAnsi"/>
          <w:sz w:val="22"/>
          <w:szCs w:val="22"/>
        </w:rPr>
        <w:t>dead biomass was converted to carbon applying a carbon fraction of 0.5, and carbon converted to carbon dioxide equivalent (CO2e) applying a conversion factor of 3.664.</w:t>
      </w:r>
      <w:r>
        <w:rPr>
          <w:rFonts w:asciiTheme="minorHAnsi" w:hAnsiTheme="minorHAnsi" w:cstheme="minorHAnsi"/>
          <w:sz w:val="22"/>
          <w:szCs w:val="22"/>
        </w:rPr>
        <w:t xml:space="preserve"> </w:t>
      </w:r>
      <w:r>
        <w:rPr>
          <w:rFonts w:asciiTheme="minorHAnsi" w:hAnsiTheme="minorHAnsi" w:cstheme="minorHAnsi"/>
        </w:rPr>
        <w:t xml:space="preserve">Detailed standing dead wood calculations are provided </w:t>
      </w:r>
      <w:r w:rsidRPr="008D4EDB">
        <w:rPr>
          <w:rFonts w:asciiTheme="minorHAnsi" w:hAnsiTheme="minorHAnsi" w:cstheme="minorHAnsi"/>
        </w:rPr>
        <w:t>in “</w:t>
      </w:r>
      <w:r w:rsidR="00001505" w:rsidRPr="00001505">
        <w:rPr>
          <w:rFonts w:asciiTheme="minorHAnsi" w:hAnsiTheme="minorHAnsi" w:cstheme="minorHAnsi"/>
        </w:rPr>
        <w:t>BSL REV SnagDet</w:t>
      </w:r>
      <w:r w:rsidRPr="008D4EDB">
        <w:rPr>
          <w:rFonts w:asciiTheme="minorHAnsi" w:hAnsiTheme="minorHAnsi" w:cstheme="minorHAnsi"/>
        </w:rPr>
        <w:t>xls”.</w:t>
      </w:r>
      <w:r w:rsidR="00A76213">
        <w:rPr>
          <w:rFonts w:asciiTheme="minorHAnsi" w:hAnsiTheme="minorHAnsi" w:cstheme="minorHAnsi"/>
        </w:rPr>
        <w:t xml:space="preserve"> Standing dead wood in un-harvested (SMZ) areas was assumed to be stable.</w:t>
      </w:r>
    </w:p>
    <w:p w14:paraId="17676E8B" w14:textId="77777777" w:rsidR="007344DF" w:rsidRPr="00B23D59" w:rsidRDefault="007344DF" w:rsidP="007344DF">
      <w:pPr>
        <w:pStyle w:val="PlainText"/>
        <w:rPr>
          <w:rFonts w:asciiTheme="minorHAnsi" w:hAnsiTheme="minorHAnsi" w:cstheme="minorHAnsi"/>
          <w:sz w:val="22"/>
          <w:szCs w:val="22"/>
          <w:highlight w:val="yellow"/>
        </w:rPr>
      </w:pPr>
    </w:p>
    <w:p w14:paraId="76087C52" w14:textId="77777777" w:rsidR="007344DF" w:rsidRPr="00B23D59" w:rsidRDefault="007344DF" w:rsidP="007344DF">
      <w:pPr>
        <w:pStyle w:val="PlainText"/>
        <w:rPr>
          <w:rFonts w:asciiTheme="minorHAnsi" w:hAnsiTheme="minorHAnsi" w:cstheme="minorHAnsi"/>
          <w:sz w:val="22"/>
          <w:szCs w:val="22"/>
          <w:highlight w:val="yellow"/>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1327"/>
        <w:gridCol w:w="5133"/>
      </w:tblGrid>
      <w:tr w:rsidR="007344DF" w:rsidRPr="006E3C23" w14:paraId="69BFD3DD" w14:textId="77777777" w:rsidTr="00A16F26">
        <w:trPr>
          <w:trHeight w:val="247"/>
        </w:trPr>
        <w:tc>
          <w:tcPr>
            <w:tcW w:w="1380" w:type="dxa"/>
          </w:tcPr>
          <w:p w14:paraId="3E964DF9" w14:textId="77777777" w:rsidR="007344DF" w:rsidRPr="006E3C23" w:rsidRDefault="007344DF" w:rsidP="00A16F26">
            <w:pPr>
              <w:autoSpaceDE w:val="0"/>
              <w:autoSpaceDN w:val="0"/>
              <w:adjustRightInd w:val="0"/>
              <w:jc w:val="center"/>
              <w:rPr>
                <w:rFonts w:cstheme="minorHAnsi"/>
                <w:b/>
                <w:color w:val="000000"/>
              </w:rPr>
            </w:pPr>
            <w:r w:rsidRPr="006E3C23">
              <w:rPr>
                <w:rFonts w:cstheme="minorHAnsi"/>
                <w:b/>
                <w:color w:val="000000"/>
              </w:rPr>
              <w:t>FVS FFE snag class</w:t>
            </w:r>
          </w:p>
        </w:tc>
        <w:tc>
          <w:tcPr>
            <w:tcW w:w="1327" w:type="dxa"/>
          </w:tcPr>
          <w:p w14:paraId="273A30C9" w14:textId="77777777" w:rsidR="007344DF" w:rsidRPr="006E3C23" w:rsidRDefault="007344DF" w:rsidP="00A16F26">
            <w:pPr>
              <w:autoSpaceDE w:val="0"/>
              <w:autoSpaceDN w:val="0"/>
              <w:adjustRightInd w:val="0"/>
              <w:jc w:val="center"/>
              <w:rPr>
                <w:rFonts w:cstheme="minorHAnsi"/>
                <w:b/>
                <w:color w:val="000000"/>
              </w:rPr>
            </w:pPr>
            <w:r w:rsidRPr="006E3C23">
              <w:rPr>
                <w:rFonts w:cstheme="minorHAnsi"/>
                <w:b/>
                <w:color w:val="000000"/>
              </w:rPr>
              <w:t>Deduction</w:t>
            </w:r>
          </w:p>
        </w:tc>
        <w:tc>
          <w:tcPr>
            <w:tcW w:w="5133" w:type="dxa"/>
          </w:tcPr>
          <w:p w14:paraId="7E6E5500" w14:textId="77777777" w:rsidR="007344DF" w:rsidRPr="006E3C23" w:rsidRDefault="007344DF" w:rsidP="00A16F26">
            <w:pPr>
              <w:autoSpaceDE w:val="0"/>
              <w:autoSpaceDN w:val="0"/>
              <w:adjustRightInd w:val="0"/>
              <w:rPr>
                <w:rFonts w:cstheme="minorHAnsi"/>
                <w:b/>
                <w:color w:val="000000"/>
              </w:rPr>
            </w:pPr>
            <w:r w:rsidRPr="006E3C23">
              <w:rPr>
                <w:rFonts w:cstheme="minorHAnsi"/>
                <w:b/>
                <w:color w:val="000000"/>
              </w:rPr>
              <w:t>Description/justification</w:t>
            </w:r>
          </w:p>
        </w:tc>
      </w:tr>
      <w:tr w:rsidR="007344DF" w:rsidRPr="00E264CD" w14:paraId="318DA6AC" w14:textId="77777777" w:rsidTr="00A16F26">
        <w:trPr>
          <w:trHeight w:val="247"/>
        </w:trPr>
        <w:tc>
          <w:tcPr>
            <w:tcW w:w="1380" w:type="dxa"/>
          </w:tcPr>
          <w:p w14:paraId="7F2FB0A7" w14:textId="77777777" w:rsidR="007344DF" w:rsidRPr="006E3C23" w:rsidRDefault="007344DF" w:rsidP="00A16F26">
            <w:pPr>
              <w:autoSpaceDE w:val="0"/>
              <w:autoSpaceDN w:val="0"/>
              <w:adjustRightInd w:val="0"/>
              <w:jc w:val="center"/>
              <w:rPr>
                <w:rFonts w:cstheme="minorHAnsi"/>
                <w:color w:val="000000"/>
              </w:rPr>
            </w:pPr>
            <w:r w:rsidRPr="006E3C23">
              <w:rPr>
                <w:rFonts w:cstheme="minorHAnsi"/>
                <w:color w:val="000000"/>
              </w:rPr>
              <w:t>soft</w:t>
            </w:r>
          </w:p>
        </w:tc>
        <w:tc>
          <w:tcPr>
            <w:tcW w:w="1327" w:type="dxa"/>
          </w:tcPr>
          <w:p w14:paraId="63990208" w14:textId="77777777" w:rsidR="007344DF" w:rsidRPr="006E3C23" w:rsidRDefault="007344DF" w:rsidP="00A16F26">
            <w:pPr>
              <w:autoSpaceDE w:val="0"/>
              <w:autoSpaceDN w:val="0"/>
              <w:adjustRightInd w:val="0"/>
              <w:jc w:val="center"/>
              <w:rPr>
                <w:rFonts w:cstheme="minorHAnsi"/>
                <w:color w:val="000000"/>
              </w:rPr>
            </w:pPr>
            <w:r w:rsidRPr="006E3C23">
              <w:rPr>
                <w:rFonts w:cstheme="minorHAnsi"/>
                <w:color w:val="000000"/>
              </w:rPr>
              <w:t>0.8</w:t>
            </w:r>
          </w:p>
        </w:tc>
        <w:tc>
          <w:tcPr>
            <w:tcW w:w="5133" w:type="dxa"/>
          </w:tcPr>
          <w:p w14:paraId="7FEFE769" w14:textId="77777777" w:rsidR="007344DF" w:rsidRPr="006E3C23" w:rsidRDefault="007344DF" w:rsidP="00A16F26">
            <w:pPr>
              <w:autoSpaceDE w:val="0"/>
              <w:autoSpaceDN w:val="0"/>
              <w:adjustRightInd w:val="0"/>
              <w:rPr>
                <w:rFonts w:cstheme="minorHAnsi"/>
                <w:color w:val="000000"/>
              </w:rPr>
            </w:pPr>
            <w:r w:rsidRPr="006E3C23">
              <w:rPr>
                <w:rFonts w:cstheme="minorHAnsi"/>
                <w:color w:val="000000"/>
              </w:rPr>
              <w:t>Per FVS FFE no branches remain, corresponds with methodology decay class 4</w:t>
            </w:r>
          </w:p>
        </w:tc>
      </w:tr>
      <w:tr w:rsidR="007344DF" w:rsidRPr="00E264CD" w14:paraId="4DDFCB71" w14:textId="77777777" w:rsidTr="00A16F26">
        <w:trPr>
          <w:trHeight w:val="247"/>
        </w:trPr>
        <w:tc>
          <w:tcPr>
            <w:tcW w:w="1380" w:type="dxa"/>
          </w:tcPr>
          <w:p w14:paraId="223FF452" w14:textId="77777777" w:rsidR="007344DF" w:rsidRPr="006E3C23" w:rsidRDefault="007344DF" w:rsidP="00A16F26">
            <w:pPr>
              <w:autoSpaceDE w:val="0"/>
              <w:autoSpaceDN w:val="0"/>
              <w:adjustRightInd w:val="0"/>
              <w:jc w:val="center"/>
              <w:rPr>
                <w:rFonts w:cstheme="minorHAnsi"/>
                <w:color w:val="000000"/>
              </w:rPr>
            </w:pPr>
            <w:r w:rsidRPr="006E3C23">
              <w:rPr>
                <w:rFonts w:cstheme="minorHAnsi"/>
                <w:color w:val="000000"/>
              </w:rPr>
              <w:t>hard</w:t>
            </w:r>
          </w:p>
        </w:tc>
        <w:tc>
          <w:tcPr>
            <w:tcW w:w="1327" w:type="dxa"/>
          </w:tcPr>
          <w:p w14:paraId="0A8CAD7B" w14:textId="77777777" w:rsidR="007344DF" w:rsidRPr="006E3C23" w:rsidRDefault="007344DF" w:rsidP="00A16F26">
            <w:pPr>
              <w:autoSpaceDE w:val="0"/>
              <w:autoSpaceDN w:val="0"/>
              <w:adjustRightInd w:val="0"/>
              <w:jc w:val="center"/>
              <w:rPr>
                <w:rFonts w:cstheme="minorHAnsi"/>
                <w:color w:val="000000"/>
              </w:rPr>
            </w:pPr>
            <w:r w:rsidRPr="006E3C23">
              <w:rPr>
                <w:rFonts w:cstheme="minorHAnsi"/>
                <w:color w:val="000000"/>
              </w:rPr>
              <w:t>0.97</w:t>
            </w:r>
          </w:p>
        </w:tc>
        <w:tc>
          <w:tcPr>
            <w:tcW w:w="5133" w:type="dxa"/>
          </w:tcPr>
          <w:p w14:paraId="51E80A4B" w14:textId="77777777" w:rsidR="007344DF" w:rsidRPr="006E3C23" w:rsidRDefault="007344DF" w:rsidP="00A16F26">
            <w:pPr>
              <w:autoSpaceDE w:val="0"/>
              <w:autoSpaceDN w:val="0"/>
              <w:adjustRightInd w:val="0"/>
              <w:rPr>
                <w:rFonts w:cstheme="minorHAnsi"/>
                <w:color w:val="000000"/>
              </w:rPr>
            </w:pPr>
            <w:r w:rsidRPr="006E3C23">
              <w:rPr>
                <w:rFonts w:cstheme="minorHAnsi"/>
                <w:color w:val="000000"/>
              </w:rPr>
              <w:t>Corresponds to methodology decay class 1; per FVS FFE: “Soft snags are more decayed and are assumed to have 80% of the wood density of hard snags”</w:t>
            </w:r>
          </w:p>
        </w:tc>
      </w:tr>
    </w:tbl>
    <w:p w14:paraId="1D8C92FB" w14:textId="77777777" w:rsidR="007344DF" w:rsidRPr="00B23D59" w:rsidRDefault="007344DF" w:rsidP="007344DF">
      <w:pPr>
        <w:autoSpaceDE w:val="0"/>
        <w:autoSpaceDN w:val="0"/>
        <w:adjustRightInd w:val="0"/>
      </w:pPr>
      <w:r w:rsidRPr="00BB2017">
        <w:t>FVS FFE = Rebain et al., 2012</w:t>
      </w:r>
    </w:p>
    <w:p w14:paraId="6C6EB636" w14:textId="77777777" w:rsidR="00D66B97" w:rsidRDefault="00D66B97" w:rsidP="007344DF">
      <w:pPr>
        <w:pStyle w:val="PlainText"/>
        <w:rPr>
          <w:rFonts w:asciiTheme="minorHAnsi" w:hAnsiTheme="minorHAnsi" w:cstheme="minorHAnsi"/>
          <w:i/>
          <w:sz w:val="22"/>
          <w:szCs w:val="22"/>
        </w:rPr>
      </w:pPr>
    </w:p>
    <w:p w14:paraId="4D206110" w14:textId="3AEE8B9C" w:rsidR="007344DF" w:rsidRPr="00AA1ED6" w:rsidRDefault="007344DF" w:rsidP="007344DF">
      <w:pPr>
        <w:pStyle w:val="PlainText"/>
        <w:rPr>
          <w:rFonts w:asciiTheme="minorHAnsi" w:hAnsiTheme="minorHAnsi" w:cstheme="minorHAnsi"/>
          <w:i/>
          <w:sz w:val="22"/>
          <w:szCs w:val="22"/>
        </w:rPr>
      </w:pPr>
      <w:r w:rsidRPr="00AA1ED6">
        <w:rPr>
          <w:rFonts w:asciiTheme="minorHAnsi" w:hAnsiTheme="minorHAnsi" w:cstheme="minorHAnsi"/>
          <w:i/>
          <w:sz w:val="22"/>
          <w:szCs w:val="22"/>
        </w:rPr>
        <w:t>Harvested wood products</w:t>
      </w:r>
    </w:p>
    <w:p w14:paraId="6E387E73" w14:textId="77777777" w:rsidR="007344DF" w:rsidRDefault="007344DF" w:rsidP="007344DF">
      <w:pPr>
        <w:pStyle w:val="PlainText"/>
        <w:rPr>
          <w:rFonts w:asciiTheme="minorHAnsi" w:hAnsiTheme="minorHAnsi" w:cstheme="minorHAnsi"/>
          <w:sz w:val="22"/>
          <w:szCs w:val="22"/>
        </w:rPr>
      </w:pPr>
    </w:p>
    <w:p w14:paraId="0857E13D" w14:textId="77777777" w:rsidR="007344DF" w:rsidRDefault="007344DF" w:rsidP="007344DF">
      <w:pPr>
        <w:pStyle w:val="PlainText"/>
        <w:rPr>
          <w:rFonts w:asciiTheme="minorHAnsi" w:hAnsiTheme="minorHAnsi" w:cstheme="minorHAnsi"/>
          <w:sz w:val="22"/>
          <w:szCs w:val="22"/>
        </w:rPr>
      </w:pPr>
      <w:r>
        <w:rPr>
          <w:rFonts w:asciiTheme="minorHAnsi" w:hAnsiTheme="minorHAnsi" w:cstheme="minorHAnsi"/>
          <w:sz w:val="22"/>
          <w:szCs w:val="22"/>
        </w:rPr>
        <w:t xml:space="preserve">Step 1: </w:t>
      </w:r>
    </w:p>
    <w:p w14:paraId="2E68A486" w14:textId="4B1CC124" w:rsidR="007344DF" w:rsidRDefault="007344DF" w:rsidP="007344DF">
      <w:pPr>
        <w:pStyle w:val="PlainText"/>
        <w:rPr>
          <w:rFonts w:asciiTheme="minorHAnsi" w:hAnsiTheme="minorHAnsi" w:cstheme="minorHAnsi"/>
          <w:sz w:val="22"/>
          <w:szCs w:val="22"/>
        </w:rPr>
      </w:pPr>
      <w:r w:rsidRPr="0055652E">
        <w:rPr>
          <w:rFonts w:asciiTheme="minorHAnsi" w:hAnsiTheme="minorHAnsi" w:cstheme="minorHAnsi"/>
          <w:sz w:val="22"/>
          <w:szCs w:val="22"/>
        </w:rPr>
        <w:t>Long-term storage in wood products was calculated from FVS projections of removals</w:t>
      </w:r>
      <w:r>
        <w:rPr>
          <w:rFonts w:asciiTheme="minorHAnsi" w:hAnsiTheme="minorHAnsi" w:cstheme="minorHAnsi"/>
          <w:sz w:val="22"/>
          <w:szCs w:val="22"/>
        </w:rPr>
        <w:t xml:space="preserve">. </w:t>
      </w:r>
      <w:r w:rsidRPr="0055652E">
        <w:rPr>
          <w:rFonts w:asciiTheme="minorHAnsi" w:hAnsiTheme="minorHAnsi" w:cstheme="minorHAnsi"/>
          <w:sz w:val="22"/>
          <w:szCs w:val="22"/>
        </w:rPr>
        <w:t xml:space="preserve">Projected harvested volumes were broken out into the following categories: softwood sawlog, softwood pulp, hardwood pulp and hardwood sawlog. </w:t>
      </w:r>
      <w:r>
        <w:rPr>
          <w:rFonts w:asciiTheme="minorHAnsi" w:hAnsiTheme="minorHAnsi" w:cstheme="minorHAnsi"/>
          <w:sz w:val="22"/>
          <w:szCs w:val="22"/>
        </w:rPr>
        <w:t xml:space="preserve">Pulp/saw breakdowns referenced merchantability standards in the </w:t>
      </w:r>
      <w:r w:rsidR="00920365">
        <w:rPr>
          <w:rFonts w:asciiTheme="minorHAnsi" w:hAnsiTheme="minorHAnsi" w:cstheme="minorHAnsi"/>
          <w:sz w:val="22"/>
          <w:szCs w:val="22"/>
        </w:rPr>
        <w:t>FVS-SN</w:t>
      </w:r>
      <w:r>
        <w:rPr>
          <w:rFonts w:asciiTheme="minorHAnsi" w:hAnsiTheme="minorHAnsi" w:cstheme="minorHAnsi"/>
          <w:sz w:val="22"/>
          <w:szCs w:val="22"/>
        </w:rPr>
        <w:t xml:space="preserve"> variant (</w:t>
      </w:r>
      <w:r w:rsidR="00FE46F4">
        <w:rPr>
          <w:rFonts w:asciiTheme="minorHAnsi" w:hAnsiTheme="minorHAnsi" w:cstheme="minorHAnsi"/>
          <w:sz w:val="22"/>
          <w:szCs w:val="22"/>
        </w:rPr>
        <w:t>Keyser</w:t>
      </w:r>
      <w:r>
        <w:rPr>
          <w:rFonts w:asciiTheme="minorHAnsi" w:hAnsiTheme="minorHAnsi" w:cstheme="minorHAnsi"/>
          <w:sz w:val="22"/>
          <w:szCs w:val="22"/>
        </w:rPr>
        <w:t xml:space="preserve"> et al 2008</w:t>
      </w:r>
      <w:r>
        <w:rPr>
          <w:rStyle w:val="FootnoteReference"/>
          <w:rFonts w:asciiTheme="minorHAnsi" w:hAnsiTheme="minorHAnsi" w:cstheme="minorHAnsi"/>
          <w:sz w:val="22"/>
          <w:szCs w:val="22"/>
        </w:rPr>
        <w:footnoteReference w:id="8"/>
      </w:r>
      <w:r>
        <w:rPr>
          <w:rFonts w:asciiTheme="minorHAnsi" w:hAnsiTheme="minorHAnsi" w:cstheme="minorHAnsi"/>
          <w:sz w:val="22"/>
          <w:szCs w:val="22"/>
        </w:rPr>
        <w:t xml:space="preserve">). </w:t>
      </w:r>
    </w:p>
    <w:p w14:paraId="7F7C6777" w14:textId="77777777" w:rsidR="007344DF" w:rsidRDefault="007344DF" w:rsidP="007344DF">
      <w:pPr>
        <w:pStyle w:val="PlainText"/>
        <w:rPr>
          <w:rFonts w:asciiTheme="minorHAnsi" w:hAnsiTheme="minorHAnsi" w:cstheme="minorHAnsi"/>
          <w:sz w:val="22"/>
          <w:szCs w:val="22"/>
        </w:rPr>
      </w:pPr>
    </w:p>
    <w:p w14:paraId="629A48AC" w14:textId="6909ECFC" w:rsidR="007344DF" w:rsidRDefault="007344DF" w:rsidP="007344DF">
      <w:pPr>
        <w:spacing w:before="1"/>
        <w:rPr>
          <w:rFonts w:cstheme="minorHAnsi"/>
        </w:rPr>
      </w:pPr>
      <w:r w:rsidRPr="00402885">
        <w:rPr>
          <w:rFonts w:cstheme="minorHAnsi"/>
        </w:rPr>
        <w:t xml:space="preserve">Volumes were converted to biomass by applying species-specific specific gravities referenced from </w:t>
      </w:r>
      <w:r w:rsidR="00DC71FA">
        <w:rPr>
          <w:rFonts w:cstheme="minorHAnsi"/>
        </w:rPr>
        <w:t xml:space="preserve">the </w:t>
      </w:r>
      <w:r w:rsidR="00DC71FA" w:rsidRPr="00C76559">
        <w:rPr>
          <w:rFonts w:cstheme="minorHAnsi"/>
        </w:rPr>
        <w:t>California Air Resources Board database “REF_SPECIES.xls”</w:t>
      </w:r>
      <w:r w:rsidRPr="00402885">
        <w:rPr>
          <w:rFonts w:cstheme="minorHAnsi"/>
        </w:rPr>
        <w:t xml:space="preserve">. Biomass was converted to carbon applying a carbon fraction of 0.5, </w:t>
      </w:r>
      <w:r>
        <w:rPr>
          <w:rFonts w:cstheme="minorHAnsi"/>
        </w:rPr>
        <w:t>and then converting to CO2 equivalent by multiplying by 3.664</w:t>
      </w:r>
      <w:r w:rsidRPr="00402885">
        <w:rPr>
          <w:rFonts w:cstheme="minorHAnsi"/>
        </w:rPr>
        <w:t>. Harvest t C</w:t>
      </w:r>
      <w:r>
        <w:rPr>
          <w:rFonts w:cstheme="minorHAnsi"/>
        </w:rPr>
        <w:t>O2</w:t>
      </w:r>
      <w:r w:rsidRPr="00402885">
        <w:rPr>
          <w:rFonts w:cstheme="minorHAnsi"/>
        </w:rPr>
        <w:t xml:space="preserve">/acre (before delivery to mill) </w:t>
      </w:r>
      <w:r>
        <w:rPr>
          <w:rFonts w:cstheme="minorHAnsi"/>
        </w:rPr>
        <w:t xml:space="preserve">for each modeled group (i.e. baseline stratum) </w:t>
      </w:r>
      <w:r w:rsidRPr="00402885">
        <w:rPr>
          <w:rFonts w:cstheme="minorHAnsi"/>
        </w:rPr>
        <w:t xml:space="preserve">were summed for four categories: hardwood saw, hardwood pulp, softwood saw and softwood pulp. </w:t>
      </w:r>
    </w:p>
    <w:p w14:paraId="429876DF" w14:textId="77777777" w:rsidR="007344DF" w:rsidRDefault="007344DF" w:rsidP="007344DF">
      <w:pPr>
        <w:spacing w:before="1"/>
        <w:rPr>
          <w:rFonts w:cstheme="minorHAnsi"/>
        </w:rPr>
      </w:pPr>
      <w:r>
        <w:rPr>
          <w:rFonts w:cstheme="minorHAnsi"/>
        </w:rPr>
        <w:t>Step 2:</w:t>
      </w:r>
    </w:p>
    <w:p w14:paraId="6E1515F6" w14:textId="675BF640" w:rsidR="007344DF" w:rsidRPr="00402885" w:rsidRDefault="007344DF" w:rsidP="007344DF">
      <w:pPr>
        <w:spacing w:before="1"/>
        <w:rPr>
          <w:rFonts w:cstheme="minorHAnsi"/>
        </w:rPr>
      </w:pPr>
      <w:r>
        <w:rPr>
          <w:rFonts w:cstheme="minorHAnsi"/>
        </w:rPr>
        <w:t>Carbon</w:t>
      </w:r>
      <w:r w:rsidRPr="00402885">
        <w:rPr>
          <w:rFonts w:cstheme="minorHAnsi"/>
        </w:rPr>
        <w:t xml:space="preserve"> transformed to wood products was estimated applying mill efficiency values referenced from the ARB</w:t>
      </w:r>
      <w:r>
        <w:rPr>
          <w:rFonts w:cstheme="minorHAnsi"/>
        </w:rPr>
        <w:t xml:space="preserve"> 2015 forest protocol</w:t>
      </w:r>
      <w:r w:rsidRPr="00402885">
        <w:rPr>
          <w:rFonts w:cstheme="minorHAnsi"/>
        </w:rPr>
        <w:t xml:space="preserve"> “Regional Mill Efficiency Data.xls” database</w:t>
      </w:r>
      <w:r>
        <w:rPr>
          <w:rStyle w:val="FootnoteReference"/>
          <w:rFonts w:cstheme="minorHAnsi"/>
        </w:rPr>
        <w:footnoteReference w:id="9"/>
      </w:r>
      <w:r w:rsidRPr="00402885">
        <w:rPr>
          <w:rFonts w:cstheme="minorHAnsi"/>
        </w:rPr>
        <w:t xml:space="preserve">, for the </w:t>
      </w:r>
      <w:r w:rsidR="006C00DE">
        <w:rPr>
          <w:rFonts w:cstheme="minorHAnsi"/>
        </w:rPr>
        <w:t>South Central</w:t>
      </w:r>
      <w:r>
        <w:rPr>
          <w:rFonts w:cstheme="minorHAnsi"/>
        </w:rPr>
        <w:t xml:space="preserve"> </w:t>
      </w:r>
      <w:r w:rsidRPr="00402885">
        <w:rPr>
          <w:rFonts w:cstheme="minorHAnsi"/>
        </w:rPr>
        <w:t xml:space="preserve">region (which includes </w:t>
      </w:r>
      <w:r w:rsidR="006C00DE">
        <w:rPr>
          <w:rFonts w:cstheme="minorHAnsi"/>
        </w:rPr>
        <w:t>Tennessee</w:t>
      </w:r>
      <w:r w:rsidRPr="00402885">
        <w:rPr>
          <w:rFonts w:cstheme="minorHAnsi"/>
        </w:rPr>
        <w:t>), specified below</w:t>
      </w:r>
      <w:r w:rsidR="002C2C52">
        <w:rPr>
          <w:rFonts w:cstheme="minorHAnsi"/>
        </w:rPr>
        <w:t>:</w:t>
      </w:r>
    </w:p>
    <w:p w14:paraId="39F86D1D" w14:textId="77777777" w:rsidR="007344DF" w:rsidRDefault="007344DF" w:rsidP="007344DF">
      <w:pPr>
        <w:pStyle w:val="PlainText"/>
        <w:rPr>
          <w:rFonts w:asciiTheme="minorHAnsi" w:hAnsiTheme="minorHAnsi" w:cstheme="minorHAnsi"/>
          <w:sz w:val="22"/>
          <w:szCs w:val="22"/>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0"/>
        <w:gridCol w:w="1360"/>
        <w:gridCol w:w="1360"/>
      </w:tblGrid>
      <w:tr w:rsidR="007344DF" w:rsidRPr="002F6E9D" w14:paraId="3894FD53" w14:textId="77777777" w:rsidTr="00A16F26">
        <w:trPr>
          <w:trHeight w:val="247"/>
        </w:trPr>
        <w:tc>
          <w:tcPr>
            <w:tcW w:w="1360" w:type="dxa"/>
            <w:vAlign w:val="bottom"/>
          </w:tcPr>
          <w:p w14:paraId="0A7EB6FF" w14:textId="77777777" w:rsidR="007344DF" w:rsidRPr="00C52274" w:rsidRDefault="007344DF" w:rsidP="00A16F26">
            <w:pPr>
              <w:spacing w:before="1"/>
              <w:rPr>
                <w:rFonts w:cstheme="minorHAnsi"/>
                <w:b/>
              </w:rPr>
            </w:pPr>
            <w:r>
              <w:rPr>
                <w:rFonts w:cstheme="minorHAnsi"/>
                <w:b/>
              </w:rPr>
              <w:t>Species group</w:t>
            </w:r>
          </w:p>
        </w:tc>
        <w:tc>
          <w:tcPr>
            <w:tcW w:w="1360" w:type="dxa"/>
            <w:vAlign w:val="center"/>
          </w:tcPr>
          <w:p w14:paraId="3A3F16B9" w14:textId="77777777" w:rsidR="007344DF" w:rsidRPr="00C52274" w:rsidRDefault="007344DF" w:rsidP="00A16F26">
            <w:pPr>
              <w:spacing w:before="1"/>
              <w:rPr>
                <w:rFonts w:cstheme="minorHAnsi"/>
                <w:b/>
              </w:rPr>
            </w:pPr>
            <w:r>
              <w:rPr>
                <w:b/>
                <w:bCs/>
                <w:color w:val="000000"/>
              </w:rPr>
              <w:t>sawtimber</w:t>
            </w:r>
          </w:p>
        </w:tc>
        <w:tc>
          <w:tcPr>
            <w:tcW w:w="1360" w:type="dxa"/>
            <w:vAlign w:val="center"/>
          </w:tcPr>
          <w:p w14:paraId="215798FE" w14:textId="77777777" w:rsidR="007344DF" w:rsidRPr="00C52274" w:rsidRDefault="007344DF" w:rsidP="00A16F26">
            <w:pPr>
              <w:spacing w:before="1"/>
              <w:rPr>
                <w:rFonts w:cstheme="minorHAnsi"/>
                <w:b/>
              </w:rPr>
            </w:pPr>
            <w:r>
              <w:rPr>
                <w:b/>
                <w:bCs/>
                <w:color w:val="000000"/>
              </w:rPr>
              <w:t>pulp</w:t>
            </w:r>
          </w:p>
        </w:tc>
      </w:tr>
      <w:tr w:rsidR="006C00DE" w:rsidRPr="002F6E9D" w14:paraId="2671C133" w14:textId="77777777" w:rsidTr="00A16F26">
        <w:trPr>
          <w:trHeight w:val="247"/>
        </w:trPr>
        <w:tc>
          <w:tcPr>
            <w:tcW w:w="1360" w:type="dxa"/>
            <w:vAlign w:val="bottom"/>
          </w:tcPr>
          <w:p w14:paraId="46C723B5" w14:textId="77777777" w:rsidR="006C00DE" w:rsidRPr="002F6E9D" w:rsidRDefault="006C00DE" w:rsidP="006C00DE">
            <w:pPr>
              <w:spacing w:before="1"/>
              <w:rPr>
                <w:rFonts w:cstheme="minorHAnsi"/>
              </w:rPr>
            </w:pPr>
            <w:r>
              <w:rPr>
                <w:color w:val="000000"/>
              </w:rPr>
              <w:t>softwood</w:t>
            </w:r>
          </w:p>
        </w:tc>
        <w:tc>
          <w:tcPr>
            <w:tcW w:w="1360" w:type="dxa"/>
            <w:vAlign w:val="bottom"/>
          </w:tcPr>
          <w:p w14:paraId="60B1A653" w14:textId="70EE1B8A" w:rsidR="006C00DE" w:rsidRPr="002F6E9D" w:rsidRDefault="006C00DE" w:rsidP="006C00DE">
            <w:pPr>
              <w:spacing w:before="1"/>
              <w:rPr>
                <w:rFonts w:cstheme="minorHAnsi"/>
              </w:rPr>
            </w:pPr>
            <w:r>
              <w:rPr>
                <w:rFonts w:ascii="Calibri" w:hAnsi="Calibri" w:cs="Calibri"/>
                <w:color w:val="000000"/>
              </w:rPr>
              <w:t>0.629</w:t>
            </w:r>
          </w:p>
        </w:tc>
        <w:tc>
          <w:tcPr>
            <w:tcW w:w="1360" w:type="dxa"/>
            <w:vAlign w:val="bottom"/>
          </w:tcPr>
          <w:p w14:paraId="1A46BA9C" w14:textId="10EF33DA" w:rsidR="006C00DE" w:rsidRPr="002F6E9D" w:rsidRDefault="006C00DE" w:rsidP="006C00DE">
            <w:pPr>
              <w:spacing w:before="1"/>
              <w:rPr>
                <w:rFonts w:cstheme="minorHAnsi"/>
              </w:rPr>
            </w:pPr>
            <w:r>
              <w:rPr>
                <w:rFonts w:ascii="Calibri" w:hAnsi="Calibri" w:cs="Calibri"/>
                <w:color w:val="000000"/>
              </w:rPr>
              <w:t>0.57</w:t>
            </w:r>
          </w:p>
        </w:tc>
      </w:tr>
      <w:tr w:rsidR="006C00DE" w:rsidRPr="002F6E9D" w14:paraId="7D8BB1AB" w14:textId="77777777" w:rsidTr="00A16F26">
        <w:trPr>
          <w:trHeight w:val="247"/>
        </w:trPr>
        <w:tc>
          <w:tcPr>
            <w:tcW w:w="1360" w:type="dxa"/>
            <w:vAlign w:val="bottom"/>
          </w:tcPr>
          <w:p w14:paraId="750D82C9" w14:textId="77777777" w:rsidR="006C00DE" w:rsidRPr="002F6E9D" w:rsidRDefault="006C00DE" w:rsidP="006C00DE">
            <w:pPr>
              <w:spacing w:before="1"/>
              <w:rPr>
                <w:rFonts w:cstheme="minorHAnsi"/>
              </w:rPr>
            </w:pPr>
            <w:r>
              <w:rPr>
                <w:color w:val="000000"/>
              </w:rPr>
              <w:t>hardwood</w:t>
            </w:r>
          </w:p>
        </w:tc>
        <w:tc>
          <w:tcPr>
            <w:tcW w:w="1360" w:type="dxa"/>
            <w:vAlign w:val="bottom"/>
          </w:tcPr>
          <w:p w14:paraId="225F613E" w14:textId="274851F4" w:rsidR="006C00DE" w:rsidRPr="002F6E9D" w:rsidRDefault="006C00DE" w:rsidP="006C00DE">
            <w:pPr>
              <w:spacing w:before="1"/>
              <w:rPr>
                <w:rFonts w:cstheme="minorHAnsi"/>
              </w:rPr>
            </w:pPr>
            <w:r>
              <w:rPr>
                <w:rFonts w:ascii="Calibri" w:hAnsi="Calibri" w:cs="Calibri"/>
                <w:color w:val="000000"/>
              </w:rPr>
              <w:t>0.587</w:t>
            </w:r>
          </w:p>
        </w:tc>
        <w:tc>
          <w:tcPr>
            <w:tcW w:w="1360" w:type="dxa"/>
            <w:vAlign w:val="bottom"/>
          </w:tcPr>
          <w:p w14:paraId="402243B1" w14:textId="7852CA2B" w:rsidR="006C00DE" w:rsidRPr="002F6E9D" w:rsidRDefault="006C00DE" w:rsidP="006C00DE">
            <w:pPr>
              <w:spacing w:before="1"/>
              <w:rPr>
                <w:rFonts w:cstheme="minorHAnsi"/>
              </w:rPr>
            </w:pPr>
            <w:r>
              <w:rPr>
                <w:rFonts w:ascii="Calibri" w:hAnsi="Calibri" w:cs="Calibri"/>
                <w:color w:val="000000"/>
              </w:rPr>
              <w:t>0.581</w:t>
            </w:r>
          </w:p>
        </w:tc>
      </w:tr>
    </w:tbl>
    <w:p w14:paraId="732BDB30" w14:textId="77777777" w:rsidR="007344DF" w:rsidRDefault="007344DF" w:rsidP="007344DF">
      <w:pPr>
        <w:pStyle w:val="PlainText"/>
        <w:rPr>
          <w:rFonts w:asciiTheme="minorHAnsi" w:hAnsiTheme="minorHAnsi" w:cstheme="minorHAnsi"/>
          <w:sz w:val="22"/>
          <w:szCs w:val="22"/>
        </w:rPr>
      </w:pPr>
    </w:p>
    <w:p w14:paraId="7484BA31" w14:textId="77777777" w:rsidR="007344DF" w:rsidRDefault="007344DF" w:rsidP="007344DF">
      <w:pPr>
        <w:pStyle w:val="PlainText"/>
        <w:rPr>
          <w:rFonts w:asciiTheme="minorHAnsi" w:hAnsiTheme="minorHAnsi" w:cstheme="minorHAnsi"/>
          <w:sz w:val="22"/>
          <w:szCs w:val="22"/>
        </w:rPr>
      </w:pPr>
    </w:p>
    <w:p w14:paraId="22E7F073" w14:textId="77777777" w:rsidR="007344DF" w:rsidRDefault="007344DF" w:rsidP="007344DF">
      <w:pPr>
        <w:autoSpaceDE w:val="0"/>
        <w:autoSpaceDN w:val="0"/>
        <w:adjustRightInd w:val="0"/>
        <w:rPr>
          <w:rFonts w:cstheme="minorHAnsi"/>
        </w:rPr>
      </w:pPr>
      <w:r>
        <w:rPr>
          <w:rFonts w:cstheme="minorHAnsi"/>
        </w:rPr>
        <w:t>Steps 3 and 4:</w:t>
      </w:r>
    </w:p>
    <w:p w14:paraId="37002EFD" w14:textId="7078C4C9" w:rsidR="007344DF" w:rsidRDefault="007344DF" w:rsidP="00D7578E">
      <w:pPr>
        <w:spacing w:before="1"/>
        <w:rPr>
          <w:rFonts w:cstheme="minorHAnsi"/>
        </w:rPr>
      </w:pPr>
      <w:r>
        <w:rPr>
          <w:rFonts w:cstheme="minorHAnsi"/>
        </w:rPr>
        <w:t xml:space="preserve">Transformed carbon was </w:t>
      </w:r>
      <w:r w:rsidRPr="00D218FA">
        <w:rPr>
          <w:rFonts w:cstheme="minorHAnsi"/>
        </w:rPr>
        <w:t>summed across the hardwood/softwood/pulp/sawtimber categories</w:t>
      </w:r>
      <w:r>
        <w:rPr>
          <w:rFonts w:cstheme="minorHAnsi"/>
        </w:rPr>
        <w:t xml:space="preserve"> and then distributed among a range of end wood product classes</w:t>
      </w:r>
      <w:r w:rsidRPr="00D218FA">
        <w:rPr>
          <w:rFonts w:cstheme="minorHAnsi"/>
        </w:rPr>
        <w:t>.</w:t>
      </w:r>
      <w:r>
        <w:rPr>
          <w:rFonts w:cstheme="minorHAnsi"/>
        </w:rPr>
        <w:t xml:space="preserve"> </w:t>
      </w:r>
      <w:r w:rsidRPr="00D218FA">
        <w:rPr>
          <w:rFonts w:cstheme="minorHAnsi"/>
        </w:rPr>
        <w:t>Distribution</w:t>
      </w:r>
      <w:r>
        <w:rPr>
          <w:rFonts w:cstheme="minorHAnsi"/>
        </w:rPr>
        <w:t>s</w:t>
      </w:r>
      <w:r w:rsidRPr="00D218FA">
        <w:rPr>
          <w:rFonts w:cstheme="minorHAnsi"/>
        </w:rPr>
        <w:t xml:space="preserve"> of en</w:t>
      </w:r>
      <w:r>
        <w:rPr>
          <w:rFonts w:cstheme="minorHAnsi"/>
        </w:rPr>
        <w:t>d wood product classes referenced</w:t>
      </w:r>
      <w:r w:rsidRPr="00D218FA">
        <w:rPr>
          <w:rFonts w:cstheme="minorHAnsi"/>
        </w:rPr>
        <w:t xml:space="preserve"> ARB </w:t>
      </w:r>
      <w:r>
        <w:rPr>
          <w:rFonts w:cstheme="minorHAnsi"/>
        </w:rPr>
        <w:t>2015 forest protocol</w:t>
      </w:r>
      <w:r w:rsidRPr="00D218FA">
        <w:rPr>
          <w:rFonts w:cstheme="minorHAnsi"/>
        </w:rPr>
        <w:t xml:space="preserve"> values</w:t>
      </w:r>
      <w:r>
        <w:rPr>
          <w:rFonts w:cstheme="minorHAnsi"/>
        </w:rPr>
        <w:t xml:space="preserve"> for </w:t>
      </w:r>
      <w:r w:rsidRPr="00D218FA">
        <w:rPr>
          <w:rFonts w:cstheme="minorHAnsi"/>
        </w:rPr>
        <w:t xml:space="preserve">the </w:t>
      </w:r>
      <w:r w:rsidR="00D7578E" w:rsidRPr="00D7578E">
        <w:rPr>
          <w:rFonts w:cstheme="minorHAnsi"/>
        </w:rPr>
        <w:t>Allegheny &amp; North Cumberland Mountains</w:t>
      </w:r>
      <w:r w:rsidR="00D7578E">
        <w:rPr>
          <w:rFonts w:cstheme="minorHAnsi"/>
        </w:rPr>
        <w:t xml:space="preserve"> and </w:t>
      </w:r>
      <w:r w:rsidR="00D7578E" w:rsidRPr="00D7578E">
        <w:rPr>
          <w:rFonts w:cstheme="minorHAnsi"/>
        </w:rPr>
        <w:t>Eastern Broadleaf Forest Cumberland Plateau</w:t>
      </w:r>
      <w:r w:rsidR="00D7578E">
        <w:rPr>
          <w:rFonts w:cstheme="minorHAnsi"/>
        </w:rPr>
        <w:t xml:space="preserve"> supersections: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2"/>
        <w:gridCol w:w="942"/>
        <w:gridCol w:w="1027"/>
        <w:gridCol w:w="927"/>
        <w:gridCol w:w="1027"/>
        <w:gridCol w:w="943"/>
        <w:gridCol w:w="1285"/>
        <w:gridCol w:w="927"/>
      </w:tblGrid>
      <w:tr w:rsidR="00D7578E" w:rsidRPr="00B16729" w14:paraId="70D95733" w14:textId="77777777" w:rsidTr="00B16729">
        <w:trPr>
          <w:trHeight w:val="1222"/>
        </w:trPr>
        <w:tc>
          <w:tcPr>
            <w:tcW w:w="1350" w:type="pct"/>
          </w:tcPr>
          <w:p w14:paraId="1E11FEAC" w14:textId="77777777" w:rsidR="00D7578E" w:rsidRPr="00B16729" w:rsidRDefault="00D7578E">
            <w:pPr>
              <w:autoSpaceDE w:val="0"/>
              <w:autoSpaceDN w:val="0"/>
              <w:adjustRightInd w:val="0"/>
              <w:spacing w:after="0" w:line="240" w:lineRule="auto"/>
              <w:jc w:val="center"/>
              <w:rPr>
                <w:rFonts w:cstheme="minorHAnsi"/>
                <w:b/>
                <w:bCs/>
                <w:color w:val="000000"/>
                <w:sz w:val="18"/>
                <w:szCs w:val="18"/>
              </w:rPr>
            </w:pPr>
            <w:r w:rsidRPr="00B16729">
              <w:rPr>
                <w:rFonts w:cstheme="minorHAnsi"/>
                <w:b/>
                <w:bCs/>
                <w:color w:val="000000"/>
                <w:sz w:val="18"/>
                <w:szCs w:val="18"/>
              </w:rPr>
              <w:t>Supersections</w:t>
            </w:r>
          </w:p>
        </w:tc>
        <w:tc>
          <w:tcPr>
            <w:tcW w:w="504" w:type="pct"/>
          </w:tcPr>
          <w:p w14:paraId="3363C43B" w14:textId="77777777" w:rsidR="00D7578E" w:rsidRPr="00B16729" w:rsidRDefault="00D7578E">
            <w:pPr>
              <w:autoSpaceDE w:val="0"/>
              <w:autoSpaceDN w:val="0"/>
              <w:adjustRightInd w:val="0"/>
              <w:spacing w:after="0" w:line="240" w:lineRule="auto"/>
              <w:jc w:val="center"/>
              <w:rPr>
                <w:rFonts w:cstheme="minorHAnsi"/>
                <w:b/>
                <w:bCs/>
                <w:color w:val="000000"/>
                <w:sz w:val="18"/>
                <w:szCs w:val="18"/>
              </w:rPr>
            </w:pPr>
            <w:r w:rsidRPr="00B16729">
              <w:rPr>
                <w:rFonts w:cstheme="minorHAnsi"/>
                <w:b/>
                <w:bCs/>
                <w:color w:val="000000"/>
                <w:sz w:val="18"/>
                <w:szCs w:val="18"/>
              </w:rPr>
              <w:t>Softwood Lumber</w:t>
            </w:r>
          </w:p>
        </w:tc>
        <w:tc>
          <w:tcPr>
            <w:tcW w:w="537" w:type="pct"/>
          </w:tcPr>
          <w:p w14:paraId="156BEAAC" w14:textId="77777777" w:rsidR="00D7578E" w:rsidRPr="00B16729" w:rsidRDefault="00D7578E">
            <w:pPr>
              <w:autoSpaceDE w:val="0"/>
              <w:autoSpaceDN w:val="0"/>
              <w:adjustRightInd w:val="0"/>
              <w:spacing w:after="0" w:line="240" w:lineRule="auto"/>
              <w:jc w:val="center"/>
              <w:rPr>
                <w:rFonts w:cstheme="minorHAnsi"/>
                <w:b/>
                <w:bCs/>
                <w:color w:val="000000"/>
                <w:sz w:val="18"/>
                <w:szCs w:val="18"/>
              </w:rPr>
            </w:pPr>
            <w:r w:rsidRPr="00B16729">
              <w:rPr>
                <w:rFonts w:cstheme="minorHAnsi"/>
                <w:b/>
                <w:bCs/>
                <w:color w:val="000000"/>
                <w:sz w:val="18"/>
                <w:szCs w:val="18"/>
              </w:rPr>
              <w:t>Hardwood Lumber</w:t>
            </w:r>
          </w:p>
        </w:tc>
        <w:tc>
          <w:tcPr>
            <w:tcW w:w="463" w:type="pct"/>
          </w:tcPr>
          <w:p w14:paraId="681676CA" w14:textId="77777777" w:rsidR="00D7578E" w:rsidRPr="00B16729" w:rsidRDefault="00D7578E">
            <w:pPr>
              <w:autoSpaceDE w:val="0"/>
              <w:autoSpaceDN w:val="0"/>
              <w:adjustRightInd w:val="0"/>
              <w:spacing w:after="0" w:line="240" w:lineRule="auto"/>
              <w:jc w:val="center"/>
              <w:rPr>
                <w:rFonts w:cstheme="minorHAnsi"/>
                <w:b/>
                <w:bCs/>
                <w:color w:val="000000"/>
                <w:sz w:val="18"/>
                <w:szCs w:val="18"/>
              </w:rPr>
            </w:pPr>
            <w:r w:rsidRPr="00B16729">
              <w:rPr>
                <w:rFonts w:cstheme="minorHAnsi"/>
                <w:b/>
                <w:bCs/>
                <w:color w:val="000000"/>
                <w:sz w:val="18"/>
                <w:szCs w:val="18"/>
              </w:rPr>
              <w:t>Plywood</w:t>
            </w:r>
          </w:p>
        </w:tc>
        <w:tc>
          <w:tcPr>
            <w:tcW w:w="502" w:type="pct"/>
          </w:tcPr>
          <w:p w14:paraId="40D806F6" w14:textId="77777777" w:rsidR="00D7578E" w:rsidRPr="00B16729" w:rsidRDefault="00D7578E">
            <w:pPr>
              <w:autoSpaceDE w:val="0"/>
              <w:autoSpaceDN w:val="0"/>
              <w:adjustRightInd w:val="0"/>
              <w:spacing w:after="0" w:line="240" w:lineRule="auto"/>
              <w:jc w:val="center"/>
              <w:rPr>
                <w:rFonts w:cstheme="minorHAnsi"/>
                <w:b/>
                <w:bCs/>
                <w:color w:val="000000"/>
                <w:sz w:val="18"/>
                <w:szCs w:val="18"/>
              </w:rPr>
            </w:pPr>
            <w:r w:rsidRPr="00B16729">
              <w:rPr>
                <w:rFonts w:cstheme="minorHAnsi"/>
                <w:b/>
                <w:bCs/>
                <w:color w:val="000000"/>
                <w:sz w:val="18"/>
                <w:szCs w:val="18"/>
              </w:rPr>
              <w:t>Oriented Strand Board</w:t>
            </w:r>
          </w:p>
        </w:tc>
        <w:tc>
          <w:tcPr>
            <w:tcW w:w="504" w:type="pct"/>
          </w:tcPr>
          <w:p w14:paraId="3A8FF491" w14:textId="77777777" w:rsidR="00D7578E" w:rsidRPr="00B16729" w:rsidRDefault="00D7578E">
            <w:pPr>
              <w:autoSpaceDE w:val="0"/>
              <w:autoSpaceDN w:val="0"/>
              <w:adjustRightInd w:val="0"/>
              <w:spacing w:after="0" w:line="240" w:lineRule="auto"/>
              <w:jc w:val="center"/>
              <w:rPr>
                <w:rFonts w:cstheme="minorHAnsi"/>
                <w:b/>
                <w:bCs/>
                <w:color w:val="000000"/>
                <w:sz w:val="18"/>
                <w:szCs w:val="18"/>
              </w:rPr>
            </w:pPr>
            <w:r w:rsidRPr="00B16729">
              <w:rPr>
                <w:rFonts w:cstheme="minorHAnsi"/>
                <w:b/>
                <w:bCs/>
                <w:color w:val="000000"/>
                <w:sz w:val="18"/>
                <w:szCs w:val="18"/>
              </w:rPr>
              <w:t>Non-structural Panels</w:t>
            </w:r>
          </w:p>
        </w:tc>
        <w:tc>
          <w:tcPr>
            <w:tcW w:w="687" w:type="pct"/>
          </w:tcPr>
          <w:p w14:paraId="3FA6396A" w14:textId="77777777" w:rsidR="00D7578E" w:rsidRPr="00B16729" w:rsidRDefault="00D7578E">
            <w:pPr>
              <w:autoSpaceDE w:val="0"/>
              <w:autoSpaceDN w:val="0"/>
              <w:adjustRightInd w:val="0"/>
              <w:spacing w:after="0" w:line="240" w:lineRule="auto"/>
              <w:jc w:val="center"/>
              <w:rPr>
                <w:rFonts w:cstheme="minorHAnsi"/>
                <w:b/>
                <w:bCs/>
                <w:color w:val="000000"/>
                <w:sz w:val="18"/>
                <w:szCs w:val="18"/>
              </w:rPr>
            </w:pPr>
            <w:r w:rsidRPr="00B16729">
              <w:rPr>
                <w:rFonts w:cstheme="minorHAnsi"/>
                <w:b/>
                <w:bCs/>
                <w:color w:val="000000"/>
                <w:sz w:val="18"/>
                <w:szCs w:val="18"/>
              </w:rPr>
              <w:t xml:space="preserve">Miscellaneous </w:t>
            </w:r>
          </w:p>
        </w:tc>
        <w:tc>
          <w:tcPr>
            <w:tcW w:w="453" w:type="pct"/>
          </w:tcPr>
          <w:p w14:paraId="66F57012" w14:textId="77777777" w:rsidR="00D7578E" w:rsidRPr="00B16729" w:rsidRDefault="00D7578E">
            <w:pPr>
              <w:autoSpaceDE w:val="0"/>
              <w:autoSpaceDN w:val="0"/>
              <w:adjustRightInd w:val="0"/>
              <w:spacing w:after="0" w:line="240" w:lineRule="auto"/>
              <w:jc w:val="center"/>
              <w:rPr>
                <w:rFonts w:cstheme="minorHAnsi"/>
                <w:b/>
                <w:bCs/>
                <w:color w:val="000000"/>
                <w:sz w:val="18"/>
                <w:szCs w:val="18"/>
              </w:rPr>
            </w:pPr>
            <w:r w:rsidRPr="00B16729">
              <w:rPr>
                <w:rFonts w:cstheme="minorHAnsi"/>
                <w:b/>
                <w:bCs/>
                <w:color w:val="000000"/>
                <w:sz w:val="18"/>
                <w:szCs w:val="18"/>
              </w:rPr>
              <w:t>Paper</w:t>
            </w:r>
          </w:p>
        </w:tc>
      </w:tr>
      <w:tr w:rsidR="00B16729" w:rsidRPr="00B16729" w14:paraId="7421E00C" w14:textId="77777777" w:rsidTr="00B16729">
        <w:trPr>
          <w:trHeight w:val="319"/>
        </w:trPr>
        <w:tc>
          <w:tcPr>
            <w:tcW w:w="1350" w:type="pct"/>
          </w:tcPr>
          <w:p w14:paraId="5CF3389C" w14:textId="77777777" w:rsidR="00B16729" w:rsidRPr="00B16729" w:rsidRDefault="00B16729" w:rsidP="00B16729">
            <w:pPr>
              <w:autoSpaceDE w:val="0"/>
              <w:autoSpaceDN w:val="0"/>
              <w:adjustRightInd w:val="0"/>
              <w:spacing w:after="0" w:line="240" w:lineRule="auto"/>
              <w:rPr>
                <w:rFonts w:cstheme="minorHAnsi"/>
                <w:color w:val="000000"/>
                <w:sz w:val="18"/>
                <w:szCs w:val="18"/>
              </w:rPr>
            </w:pPr>
            <w:r w:rsidRPr="00B16729">
              <w:rPr>
                <w:rFonts w:cstheme="minorHAnsi"/>
                <w:color w:val="000000"/>
                <w:sz w:val="18"/>
                <w:szCs w:val="18"/>
              </w:rPr>
              <w:t>Allegheny &amp; North Cumberland Mountains</w:t>
            </w:r>
          </w:p>
        </w:tc>
        <w:tc>
          <w:tcPr>
            <w:tcW w:w="504" w:type="pct"/>
            <w:vAlign w:val="bottom"/>
          </w:tcPr>
          <w:p w14:paraId="79CFA6E3" w14:textId="20132EB8"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Arial" w:hAnsi="Arial" w:cs="Arial"/>
                <w:sz w:val="18"/>
                <w:szCs w:val="18"/>
              </w:rPr>
              <w:t>3.6059%</w:t>
            </w:r>
          </w:p>
        </w:tc>
        <w:tc>
          <w:tcPr>
            <w:tcW w:w="537" w:type="pct"/>
            <w:vAlign w:val="bottom"/>
          </w:tcPr>
          <w:p w14:paraId="2E425A16" w14:textId="1D06E8C2"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Arial" w:hAnsi="Arial" w:cs="Arial"/>
                <w:sz w:val="18"/>
                <w:szCs w:val="18"/>
              </w:rPr>
              <w:t>68.7654%</w:t>
            </w:r>
          </w:p>
        </w:tc>
        <w:tc>
          <w:tcPr>
            <w:tcW w:w="463" w:type="pct"/>
            <w:vAlign w:val="bottom"/>
          </w:tcPr>
          <w:p w14:paraId="4286CF24" w14:textId="28AC172D"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Arial" w:hAnsi="Arial" w:cs="Arial"/>
                <w:sz w:val="18"/>
                <w:szCs w:val="18"/>
              </w:rPr>
              <w:t>0.0155%</w:t>
            </w:r>
          </w:p>
        </w:tc>
        <w:tc>
          <w:tcPr>
            <w:tcW w:w="502" w:type="pct"/>
            <w:vAlign w:val="bottom"/>
          </w:tcPr>
          <w:p w14:paraId="48C5670D" w14:textId="7C4627DA"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Arial" w:hAnsi="Arial" w:cs="Arial"/>
                <w:sz w:val="18"/>
                <w:szCs w:val="18"/>
              </w:rPr>
              <w:t>12.2013%</w:t>
            </w:r>
          </w:p>
        </w:tc>
        <w:tc>
          <w:tcPr>
            <w:tcW w:w="504" w:type="pct"/>
            <w:vAlign w:val="bottom"/>
          </w:tcPr>
          <w:p w14:paraId="580F48CB" w14:textId="37346CFA"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Arial" w:hAnsi="Arial" w:cs="Arial"/>
                <w:sz w:val="18"/>
                <w:szCs w:val="18"/>
              </w:rPr>
              <w:t>4.5936%</w:t>
            </w:r>
          </w:p>
        </w:tc>
        <w:tc>
          <w:tcPr>
            <w:tcW w:w="687" w:type="pct"/>
            <w:vAlign w:val="bottom"/>
          </w:tcPr>
          <w:p w14:paraId="5D68833D" w14:textId="13C7A5DB"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Arial" w:hAnsi="Arial" w:cs="Arial"/>
                <w:sz w:val="18"/>
                <w:szCs w:val="18"/>
              </w:rPr>
              <w:t>3.3824%</w:t>
            </w:r>
          </w:p>
        </w:tc>
        <w:tc>
          <w:tcPr>
            <w:tcW w:w="453" w:type="pct"/>
            <w:vAlign w:val="bottom"/>
          </w:tcPr>
          <w:p w14:paraId="0D7F9FCB" w14:textId="43B34B45"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Arial" w:hAnsi="Arial" w:cs="Arial"/>
                <w:sz w:val="18"/>
                <w:szCs w:val="18"/>
              </w:rPr>
              <w:t>7.4358%</w:t>
            </w:r>
          </w:p>
        </w:tc>
      </w:tr>
      <w:tr w:rsidR="00B16729" w:rsidRPr="00B16729" w14:paraId="56F0C60C" w14:textId="77777777" w:rsidTr="00B16729">
        <w:trPr>
          <w:trHeight w:val="312"/>
        </w:trPr>
        <w:tc>
          <w:tcPr>
            <w:tcW w:w="1350" w:type="pct"/>
          </w:tcPr>
          <w:p w14:paraId="529D1A21" w14:textId="77777777" w:rsidR="00B16729" w:rsidRPr="00B16729" w:rsidRDefault="00B16729" w:rsidP="00B16729">
            <w:pPr>
              <w:autoSpaceDE w:val="0"/>
              <w:autoSpaceDN w:val="0"/>
              <w:adjustRightInd w:val="0"/>
              <w:spacing w:after="0" w:line="240" w:lineRule="auto"/>
              <w:rPr>
                <w:rFonts w:cstheme="minorHAnsi"/>
                <w:color w:val="000000"/>
                <w:sz w:val="18"/>
                <w:szCs w:val="18"/>
              </w:rPr>
            </w:pPr>
            <w:r w:rsidRPr="00B16729">
              <w:rPr>
                <w:rFonts w:cstheme="minorHAnsi"/>
                <w:color w:val="000000"/>
                <w:sz w:val="18"/>
                <w:szCs w:val="18"/>
              </w:rPr>
              <w:t>Eastern Broadleaf Forest Cumberland Plateau</w:t>
            </w:r>
          </w:p>
        </w:tc>
        <w:tc>
          <w:tcPr>
            <w:tcW w:w="504" w:type="pct"/>
            <w:vAlign w:val="bottom"/>
          </w:tcPr>
          <w:p w14:paraId="700041DF" w14:textId="5E6DEE20"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Arial" w:hAnsi="Arial" w:cs="Arial"/>
                <w:sz w:val="18"/>
                <w:szCs w:val="18"/>
              </w:rPr>
              <w:t>9.8638%</w:t>
            </w:r>
          </w:p>
        </w:tc>
        <w:tc>
          <w:tcPr>
            <w:tcW w:w="537" w:type="pct"/>
            <w:vAlign w:val="bottom"/>
          </w:tcPr>
          <w:p w14:paraId="54EBF8B4" w14:textId="6FAF2305"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Arial" w:hAnsi="Arial" w:cs="Arial"/>
                <w:sz w:val="18"/>
                <w:szCs w:val="18"/>
              </w:rPr>
              <w:t>65.0119%</w:t>
            </w:r>
          </w:p>
        </w:tc>
        <w:tc>
          <w:tcPr>
            <w:tcW w:w="463" w:type="pct"/>
            <w:vAlign w:val="bottom"/>
          </w:tcPr>
          <w:p w14:paraId="7BB0F26B" w14:textId="0FE67A9B"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Arial" w:hAnsi="Arial" w:cs="Arial"/>
                <w:sz w:val="18"/>
                <w:szCs w:val="18"/>
              </w:rPr>
              <w:t>0.1648%</w:t>
            </w:r>
          </w:p>
        </w:tc>
        <w:tc>
          <w:tcPr>
            <w:tcW w:w="502" w:type="pct"/>
            <w:vAlign w:val="bottom"/>
          </w:tcPr>
          <w:p w14:paraId="4E50FBB1" w14:textId="78CC5867"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Arial" w:hAnsi="Arial" w:cs="Arial"/>
                <w:sz w:val="18"/>
                <w:szCs w:val="18"/>
              </w:rPr>
              <w:t>0.0444%</w:t>
            </w:r>
          </w:p>
        </w:tc>
        <w:tc>
          <w:tcPr>
            <w:tcW w:w="504" w:type="pct"/>
            <w:vAlign w:val="bottom"/>
          </w:tcPr>
          <w:p w14:paraId="13D482DB" w14:textId="06769D50"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Arial" w:hAnsi="Arial" w:cs="Arial"/>
                <w:sz w:val="18"/>
                <w:szCs w:val="18"/>
              </w:rPr>
              <w:t>3.6958%</w:t>
            </w:r>
          </w:p>
        </w:tc>
        <w:tc>
          <w:tcPr>
            <w:tcW w:w="687" w:type="pct"/>
            <w:vAlign w:val="bottom"/>
          </w:tcPr>
          <w:p w14:paraId="5AACBEF5" w14:textId="66C7C358"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Arial" w:hAnsi="Arial" w:cs="Arial"/>
                <w:sz w:val="18"/>
                <w:szCs w:val="18"/>
              </w:rPr>
              <w:t>14.5833%</w:t>
            </w:r>
          </w:p>
        </w:tc>
        <w:tc>
          <w:tcPr>
            <w:tcW w:w="453" w:type="pct"/>
            <w:vAlign w:val="bottom"/>
          </w:tcPr>
          <w:p w14:paraId="3026AE12" w14:textId="7E91F6AA"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Arial" w:hAnsi="Arial" w:cs="Arial"/>
                <w:sz w:val="18"/>
                <w:szCs w:val="18"/>
              </w:rPr>
              <w:t>6.6361%</w:t>
            </w:r>
          </w:p>
        </w:tc>
      </w:tr>
      <w:tr w:rsidR="00B16729" w:rsidRPr="00B16729" w14:paraId="243D79CC" w14:textId="77777777" w:rsidTr="00B16729">
        <w:trPr>
          <w:trHeight w:val="298"/>
        </w:trPr>
        <w:tc>
          <w:tcPr>
            <w:tcW w:w="1350" w:type="pct"/>
          </w:tcPr>
          <w:p w14:paraId="6DEAAE92" w14:textId="29152F38" w:rsidR="00B16729" w:rsidRPr="00B16729" w:rsidRDefault="00B16729" w:rsidP="00B16729">
            <w:pPr>
              <w:autoSpaceDE w:val="0"/>
              <w:autoSpaceDN w:val="0"/>
              <w:adjustRightInd w:val="0"/>
              <w:spacing w:after="0" w:line="240" w:lineRule="auto"/>
              <w:rPr>
                <w:rFonts w:cstheme="minorHAnsi"/>
                <w:color w:val="000000"/>
                <w:sz w:val="18"/>
                <w:szCs w:val="18"/>
              </w:rPr>
            </w:pPr>
            <w:r w:rsidRPr="00B16729">
              <w:rPr>
                <w:rFonts w:cstheme="minorHAnsi"/>
                <w:color w:val="000000"/>
                <w:sz w:val="18"/>
                <w:szCs w:val="18"/>
              </w:rPr>
              <w:t>area weighted average product class distributions (including only areas subject to harvest in the baseline)</w:t>
            </w:r>
          </w:p>
        </w:tc>
        <w:tc>
          <w:tcPr>
            <w:tcW w:w="504" w:type="pct"/>
            <w:vAlign w:val="bottom"/>
          </w:tcPr>
          <w:p w14:paraId="5F380CAD" w14:textId="5CBB5A48"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Calibri" w:hAnsi="Calibri" w:cs="Calibri"/>
                <w:color w:val="000000"/>
                <w:sz w:val="18"/>
                <w:szCs w:val="18"/>
              </w:rPr>
              <w:t>5.2%</w:t>
            </w:r>
          </w:p>
        </w:tc>
        <w:tc>
          <w:tcPr>
            <w:tcW w:w="537" w:type="pct"/>
            <w:vAlign w:val="bottom"/>
          </w:tcPr>
          <w:p w14:paraId="044B2996" w14:textId="3C530021"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Calibri" w:hAnsi="Calibri" w:cs="Calibri"/>
                <w:color w:val="000000"/>
                <w:sz w:val="18"/>
                <w:szCs w:val="18"/>
              </w:rPr>
              <w:t>67.8%</w:t>
            </w:r>
          </w:p>
        </w:tc>
        <w:tc>
          <w:tcPr>
            <w:tcW w:w="463" w:type="pct"/>
            <w:vAlign w:val="bottom"/>
          </w:tcPr>
          <w:p w14:paraId="5286FFB6" w14:textId="35445FFA"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Calibri" w:hAnsi="Calibri" w:cs="Calibri"/>
                <w:color w:val="000000"/>
                <w:sz w:val="18"/>
                <w:szCs w:val="18"/>
              </w:rPr>
              <w:t>0.1%</w:t>
            </w:r>
          </w:p>
        </w:tc>
        <w:tc>
          <w:tcPr>
            <w:tcW w:w="502" w:type="pct"/>
            <w:vAlign w:val="bottom"/>
          </w:tcPr>
          <w:p w14:paraId="200CC701" w14:textId="22C86470"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Calibri" w:hAnsi="Calibri" w:cs="Calibri"/>
                <w:color w:val="000000"/>
                <w:sz w:val="18"/>
                <w:szCs w:val="18"/>
              </w:rPr>
              <w:t>9.1%</w:t>
            </w:r>
          </w:p>
        </w:tc>
        <w:tc>
          <w:tcPr>
            <w:tcW w:w="504" w:type="pct"/>
            <w:vAlign w:val="bottom"/>
          </w:tcPr>
          <w:p w14:paraId="253B3BB2" w14:textId="3618E1DD"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Calibri" w:hAnsi="Calibri" w:cs="Calibri"/>
                <w:color w:val="000000"/>
                <w:sz w:val="18"/>
                <w:szCs w:val="18"/>
              </w:rPr>
              <w:t>4.4%</w:t>
            </w:r>
          </w:p>
        </w:tc>
        <w:tc>
          <w:tcPr>
            <w:tcW w:w="687" w:type="pct"/>
            <w:vAlign w:val="bottom"/>
          </w:tcPr>
          <w:p w14:paraId="6C6DD655" w14:textId="057C4FD1"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Calibri" w:hAnsi="Calibri" w:cs="Calibri"/>
                <w:color w:val="000000"/>
                <w:sz w:val="18"/>
                <w:szCs w:val="18"/>
              </w:rPr>
              <w:t>6.3%</w:t>
            </w:r>
          </w:p>
        </w:tc>
        <w:tc>
          <w:tcPr>
            <w:tcW w:w="453" w:type="pct"/>
            <w:vAlign w:val="bottom"/>
          </w:tcPr>
          <w:p w14:paraId="4CC45D56" w14:textId="088B9BAE" w:rsidR="00B16729" w:rsidRPr="00B16729" w:rsidRDefault="00B16729" w:rsidP="00B16729">
            <w:pPr>
              <w:autoSpaceDE w:val="0"/>
              <w:autoSpaceDN w:val="0"/>
              <w:adjustRightInd w:val="0"/>
              <w:spacing w:after="0" w:line="240" w:lineRule="auto"/>
              <w:jc w:val="right"/>
              <w:rPr>
                <w:rFonts w:cstheme="minorHAnsi"/>
                <w:color w:val="000000"/>
                <w:sz w:val="18"/>
                <w:szCs w:val="18"/>
              </w:rPr>
            </w:pPr>
            <w:r w:rsidRPr="00B16729">
              <w:rPr>
                <w:rFonts w:ascii="Calibri" w:hAnsi="Calibri" w:cs="Calibri"/>
                <w:color w:val="000000"/>
                <w:sz w:val="18"/>
                <w:szCs w:val="18"/>
              </w:rPr>
              <w:t>7.2%</w:t>
            </w:r>
          </w:p>
        </w:tc>
      </w:tr>
    </w:tbl>
    <w:p w14:paraId="52ECD46E" w14:textId="77777777" w:rsidR="007344DF" w:rsidRPr="00D218FA" w:rsidRDefault="007344DF" w:rsidP="007344DF">
      <w:pPr>
        <w:autoSpaceDE w:val="0"/>
        <w:autoSpaceDN w:val="0"/>
        <w:adjustRightInd w:val="0"/>
        <w:rPr>
          <w:rFonts w:cstheme="minorHAnsi"/>
        </w:rPr>
      </w:pPr>
    </w:p>
    <w:p w14:paraId="6E5E10DC" w14:textId="77777777" w:rsidR="007344DF" w:rsidRDefault="007344DF" w:rsidP="007344DF">
      <w:pPr>
        <w:spacing w:before="1"/>
        <w:rPr>
          <w:rFonts w:cstheme="minorHAnsi"/>
        </w:rPr>
      </w:pPr>
      <w:r w:rsidRPr="00D218FA">
        <w:rPr>
          <w:rFonts w:cstheme="minorHAnsi"/>
        </w:rPr>
        <w:t xml:space="preserve">Wood product amounts retained in storage for 100 years in in-use wood products and landfills were then calculated referencing </w:t>
      </w:r>
      <w:r>
        <w:rPr>
          <w:rFonts w:cstheme="minorHAnsi"/>
        </w:rPr>
        <w:t xml:space="preserve">end wood product class-specific </w:t>
      </w:r>
      <w:r w:rsidRPr="00D218FA">
        <w:rPr>
          <w:rFonts w:cstheme="minorHAnsi"/>
        </w:rPr>
        <w:t xml:space="preserve">100-year average storage factors </w:t>
      </w:r>
      <w:r>
        <w:rPr>
          <w:rFonts w:cstheme="minorHAnsi"/>
        </w:rPr>
        <w:t>provided in the methodology</w:t>
      </w:r>
      <w:r>
        <w:rPr>
          <w:rStyle w:val="FootnoteReference"/>
          <w:rFonts w:cstheme="minorHAnsi"/>
        </w:rPr>
        <w:footnoteReference w:id="10"/>
      </w:r>
      <w:r>
        <w:rPr>
          <w:rFonts w:cstheme="minorHAnsi"/>
        </w:rPr>
        <w:t>.</w:t>
      </w:r>
    </w:p>
    <w:p w14:paraId="558D38D3" w14:textId="77777777" w:rsidR="007344DF" w:rsidRDefault="007344DF" w:rsidP="007344DF">
      <w:pPr>
        <w:spacing w:before="1"/>
        <w:rPr>
          <w:rFonts w:cstheme="minorHAnsi"/>
        </w:rPr>
      </w:pPr>
      <w:r>
        <w:rPr>
          <w:rFonts w:cstheme="minorHAnsi"/>
        </w:rPr>
        <w:t>Step 5:</w:t>
      </w:r>
    </w:p>
    <w:p w14:paraId="25C9D883" w14:textId="77777777" w:rsidR="007344DF" w:rsidRPr="007D7C62" w:rsidRDefault="007344DF" w:rsidP="007344DF">
      <w:pPr>
        <w:rPr>
          <w:rFonts w:eastAsia="Times New Roman"/>
          <w:color w:val="000000"/>
        </w:rPr>
      </w:pPr>
      <w:r>
        <w:rPr>
          <w:rFonts w:eastAsia="Times New Roman"/>
          <w:color w:val="000000"/>
        </w:rPr>
        <w:t xml:space="preserve">Carbon in long-term storage was then summed across in-use wood products and landfills and across </w:t>
      </w:r>
      <w:r>
        <w:rPr>
          <w:rFonts w:cstheme="minorHAnsi"/>
        </w:rPr>
        <w:t xml:space="preserve">modeled groups/baseline strata </w:t>
      </w:r>
      <w:r>
        <w:rPr>
          <w:rFonts w:eastAsia="Times New Roman"/>
          <w:color w:val="000000"/>
        </w:rPr>
        <w:t xml:space="preserve">to produce annual total </w:t>
      </w:r>
      <w:r w:rsidRPr="007D7C62">
        <w:rPr>
          <w:rFonts w:eastAsia="Times New Roman"/>
          <w:color w:val="000000"/>
        </w:rPr>
        <w:t>t CO2</w:t>
      </w:r>
      <w:r>
        <w:rPr>
          <w:rFonts w:eastAsia="Times New Roman"/>
          <w:color w:val="000000"/>
        </w:rPr>
        <w:t xml:space="preserve"> </w:t>
      </w:r>
      <w:r w:rsidRPr="007D7C62">
        <w:rPr>
          <w:rFonts w:eastAsia="Times New Roman"/>
          <w:color w:val="000000"/>
        </w:rPr>
        <w:t>stored in in-use wood prod</w:t>
      </w:r>
      <w:r>
        <w:rPr>
          <w:rFonts w:eastAsia="Times New Roman"/>
          <w:color w:val="000000"/>
        </w:rPr>
        <w:t>ucts and landfills over 100 years</w:t>
      </w:r>
      <w:r w:rsidRPr="007D7C62">
        <w:rPr>
          <w:rFonts w:eastAsia="Times New Roman"/>
          <w:color w:val="000000"/>
        </w:rPr>
        <w:t xml:space="preserve"> from wood harvested in</w:t>
      </w:r>
      <w:r>
        <w:rPr>
          <w:rFonts w:eastAsia="Times New Roman"/>
          <w:color w:val="000000"/>
        </w:rPr>
        <w:t xml:space="preserve"> a given year.</w:t>
      </w:r>
    </w:p>
    <w:p w14:paraId="1BA6881B" w14:textId="0B3885F3" w:rsidR="007344DF" w:rsidRDefault="007344DF" w:rsidP="007344DF">
      <w:pPr>
        <w:spacing w:before="1"/>
        <w:rPr>
          <w:rFonts w:cstheme="minorHAnsi"/>
        </w:rPr>
      </w:pPr>
      <w:r>
        <w:rPr>
          <w:rFonts w:cstheme="minorHAnsi"/>
        </w:rPr>
        <w:t>Detailed harvested wood product calculations are provided in “</w:t>
      </w:r>
      <w:r w:rsidR="00001505" w:rsidRPr="00001505">
        <w:rPr>
          <w:rFonts w:cstheme="minorHAnsi"/>
        </w:rPr>
        <w:t>UTK FVS BSL REV Cutlist</w:t>
      </w:r>
      <w:r>
        <w:rPr>
          <w:rFonts w:cstheme="minorHAnsi"/>
        </w:rPr>
        <w:t>xls”.</w:t>
      </w:r>
    </w:p>
    <w:p w14:paraId="5AF26BD9" w14:textId="77777777" w:rsidR="00D66B97" w:rsidRDefault="00D66B97" w:rsidP="007344DF">
      <w:pPr>
        <w:pStyle w:val="PlainText"/>
        <w:rPr>
          <w:rFonts w:asciiTheme="minorHAnsi" w:hAnsiTheme="minorHAnsi" w:cstheme="minorHAnsi"/>
          <w:sz w:val="22"/>
          <w:szCs w:val="22"/>
        </w:rPr>
      </w:pPr>
    </w:p>
    <w:p w14:paraId="10F43C0D" w14:textId="0776283D" w:rsidR="007344DF" w:rsidRPr="0055652E" w:rsidRDefault="007344DF" w:rsidP="007344DF">
      <w:pPr>
        <w:pStyle w:val="PlainText"/>
        <w:rPr>
          <w:rFonts w:asciiTheme="minorHAnsi" w:hAnsiTheme="minorHAnsi" w:cstheme="minorHAnsi"/>
          <w:sz w:val="22"/>
          <w:szCs w:val="22"/>
        </w:rPr>
      </w:pPr>
      <w:r w:rsidRPr="0055652E">
        <w:rPr>
          <w:rFonts w:asciiTheme="minorHAnsi" w:hAnsiTheme="minorHAnsi" w:cstheme="minorHAnsi"/>
          <w:sz w:val="22"/>
          <w:szCs w:val="22"/>
        </w:rPr>
        <w:t>Emissions due to burning logging slash are conservatively assumed in the baseline to be zero. Thus, parameter BSBSL equals zero and the outcome of equation 4 of the methodology, parameter GHGBSL, equals zero.</w:t>
      </w:r>
    </w:p>
    <w:p w14:paraId="04B078A5" w14:textId="77777777" w:rsidR="007344DF" w:rsidRDefault="007344DF" w:rsidP="007344DF"/>
    <w:p w14:paraId="07627085" w14:textId="6E9E3CD9" w:rsidR="007344DF" w:rsidRDefault="000542CB" w:rsidP="007344DF">
      <w:pPr>
        <w:rPr>
          <w:b/>
        </w:rPr>
      </w:pPr>
      <w:r>
        <w:rPr>
          <w:b/>
        </w:rPr>
        <w:t>Table E8</w:t>
      </w:r>
      <w:r w:rsidR="002C2C52">
        <w:rPr>
          <w:b/>
        </w:rPr>
        <w:t xml:space="preserve">. </w:t>
      </w:r>
      <w:r w:rsidR="007344DF" w:rsidRPr="00616DAD">
        <w:rPr>
          <w:b/>
        </w:rPr>
        <w:t>Projections of live tree, standing dead wood and harvested wood products carbon stocks in the project area in the baseline scenario for the first</w:t>
      </w:r>
      <w:r w:rsidR="00D66323">
        <w:rPr>
          <w:b/>
        </w:rPr>
        <w:t xml:space="preserve"> crediting period from 2020 to 2039</w:t>
      </w:r>
      <w:r w:rsidR="007344DF" w:rsidRPr="00616DAD">
        <w:rPr>
          <w:b/>
        </w:rPr>
        <w:t xml:space="preserve">. For the live tree and standing dead pools, stocks represent stocks </w:t>
      </w:r>
      <w:r w:rsidR="007A27AA">
        <w:rPr>
          <w:b/>
        </w:rPr>
        <w:t>at</w:t>
      </w:r>
      <w:r w:rsidR="00B3492E">
        <w:rPr>
          <w:b/>
        </w:rPr>
        <w:t xml:space="preserve"> </w:t>
      </w:r>
      <w:r w:rsidR="00D66323">
        <w:rPr>
          <w:b/>
        </w:rPr>
        <w:t xml:space="preserve">November 26 </w:t>
      </w:r>
      <w:r w:rsidR="007344DF" w:rsidRPr="00616DAD">
        <w:rPr>
          <w:b/>
        </w:rPr>
        <w:t xml:space="preserve">of the </w:t>
      </w:r>
      <w:r w:rsidR="00D66323">
        <w:rPr>
          <w:b/>
        </w:rPr>
        <w:t xml:space="preserve">previous </w:t>
      </w:r>
      <w:r w:rsidR="007344DF" w:rsidRPr="00616DAD">
        <w:rPr>
          <w:b/>
        </w:rPr>
        <w:t xml:space="preserve">year. </w:t>
      </w:r>
      <w:r w:rsidR="00ED5FCE">
        <w:rPr>
          <w:b/>
        </w:rPr>
        <w:t>Annual average inputs to harvested wood products (HWP) is 14,933.4 t CO2.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21"/>
        <w:gridCol w:w="1521"/>
        <w:gridCol w:w="1521"/>
      </w:tblGrid>
      <w:tr w:rsidR="00ED5FCE" w14:paraId="0C651C82" w14:textId="77777777" w:rsidTr="00A16F26">
        <w:trPr>
          <w:trHeight w:val="581"/>
          <w:jc w:val="center"/>
        </w:trPr>
        <w:tc>
          <w:tcPr>
            <w:tcW w:w="1521" w:type="dxa"/>
          </w:tcPr>
          <w:p w14:paraId="543C7492" w14:textId="77777777" w:rsidR="00ED5FCE" w:rsidRDefault="00ED5FCE" w:rsidP="00A16F26">
            <w:pPr>
              <w:autoSpaceDE w:val="0"/>
              <w:autoSpaceDN w:val="0"/>
              <w:adjustRightInd w:val="0"/>
              <w:rPr>
                <w:b/>
                <w:bCs/>
                <w:color w:val="000000"/>
              </w:rPr>
            </w:pPr>
            <w:r>
              <w:rPr>
                <w:b/>
                <w:bCs/>
                <w:color w:val="000000"/>
              </w:rPr>
              <w:t>Year</w:t>
            </w:r>
          </w:p>
        </w:tc>
        <w:tc>
          <w:tcPr>
            <w:tcW w:w="1521" w:type="dxa"/>
          </w:tcPr>
          <w:p w14:paraId="2E50D85C" w14:textId="77777777" w:rsidR="00ED5FCE" w:rsidRDefault="00ED5FCE" w:rsidP="00A16F26">
            <w:pPr>
              <w:autoSpaceDE w:val="0"/>
              <w:autoSpaceDN w:val="0"/>
              <w:adjustRightInd w:val="0"/>
              <w:rPr>
                <w:b/>
                <w:bCs/>
                <w:color w:val="000000"/>
              </w:rPr>
            </w:pPr>
            <w:r>
              <w:rPr>
                <w:b/>
                <w:bCs/>
                <w:color w:val="000000"/>
              </w:rPr>
              <w:t>Live t CO2/acre</w:t>
            </w:r>
          </w:p>
        </w:tc>
        <w:tc>
          <w:tcPr>
            <w:tcW w:w="1521" w:type="dxa"/>
          </w:tcPr>
          <w:p w14:paraId="6E891AA9" w14:textId="77777777" w:rsidR="00ED5FCE" w:rsidRPr="00E025BE" w:rsidRDefault="00ED5FCE" w:rsidP="00A16F26">
            <w:pPr>
              <w:autoSpaceDE w:val="0"/>
              <w:autoSpaceDN w:val="0"/>
              <w:adjustRightInd w:val="0"/>
              <w:rPr>
                <w:b/>
                <w:bCs/>
                <w:color w:val="000000"/>
              </w:rPr>
            </w:pPr>
            <w:r w:rsidRPr="00E025BE">
              <w:rPr>
                <w:b/>
                <w:bCs/>
                <w:color w:val="000000"/>
              </w:rPr>
              <w:t>Standing dead t CO2/acre</w:t>
            </w:r>
          </w:p>
        </w:tc>
      </w:tr>
      <w:tr w:rsidR="00ED5FCE" w14:paraId="4F6840D5" w14:textId="77777777" w:rsidTr="00A16F26">
        <w:trPr>
          <w:trHeight w:val="290"/>
          <w:jc w:val="center"/>
        </w:trPr>
        <w:tc>
          <w:tcPr>
            <w:tcW w:w="1521" w:type="dxa"/>
            <w:vAlign w:val="bottom"/>
          </w:tcPr>
          <w:p w14:paraId="1E035A08" w14:textId="0BD02140" w:rsidR="00ED5FCE" w:rsidRDefault="00ED5FCE" w:rsidP="00ED5FCE">
            <w:pPr>
              <w:autoSpaceDE w:val="0"/>
              <w:autoSpaceDN w:val="0"/>
              <w:adjustRightInd w:val="0"/>
              <w:jc w:val="right"/>
              <w:rPr>
                <w:color w:val="000000"/>
              </w:rPr>
            </w:pPr>
            <w:r>
              <w:rPr>
                <w:rFonts w:ascii="Calibri" w:hAnsi="Calibri" w:cs="Calibri"/>
                <w:color w:val="000000"/>
              </w:rPr>
              <w:t>2020</w:t>
            </w:r>
          </w:p>
        </w:tc>
        <w:tc>
          <w:tcPr>
            <w:tcW w:w="1521" w:type="dxa"/>
            <w:vAlign w:val="bottom"/>
          </w:tcPr>
          <w:p w14:paraId="01A19E3B" w14:textId="4791505C" w:rsidR="00ED5FCE" w:rsidRDefault="00ED5FCE" w:rsidP="00ED5FCE">
            <w:pPr>
              <w:autoSpaceDE w:val="0"/>
              <w:autoSpaceDN w:val="0"/>
              <w:adjustRightInd w:val="0"/>
              <w:jc w:val="right"/>
              <w:rPr>
                <w:color w:val="000000"/>
              </w:rPr>
            </w:pPr>
            <w:r>
              <w:rPr>
                <w:rFonts w:ascii="Calibri" w:hAnsi="Calibri" w:cs="Calibri"/>
                <w:color w:val="000000"/>
              </w:rPr>
              <w:t>194.6</w:t>
            </w:r>
          </w:p>
        </w:tc>
        <w:tc>
          <w:tcPr>
            <w:tcW w:w="1521" w:type="dxa"/>
            <w:vAlign w:val="bottom"/>
          </w:tcPr>
          <w:p w14:paraId="303FEF30" w14:textId="2CC4B942" w:rsidR="00ED5FCE" w:rsidRDefault="00ED5FCE" w:rsidP="00ED5FCE">
            <w:pPr>
              <w:autoSpaceDE w:val="0"/>
              <w:autoSpaceDN w:val="0"/>
              <w:adjustRightInd w:val="0"/>
              <w:jc w:val="right"/>
              <w:rPr>
                <w:color w:val="000000"/>
              </w:rPr>
            </w:pPr>
            <w:r>
              <w:rPr>
                <w:rFonts w:ascii="Calibri" w:hAnsi="Calibri" w:cs="Calibri"/>
                <w:color w:val="000000"/>
              </w:rPr>
              <w:t>3.9</w:t>
            </w:r>
          </w:p>
        </w:tc>
      </w:tr>
      <w:tr w:rsidR="00ED5FCE" w14:paraId="19226850" w14:textId="77777777" w:rsidTr="00A16F26">
        <w:trPr>
          <w:trHeight w:val="290"/>
          <w:jc w:val="center"/>
        </w:trPr>
        <w:tc>
          <w:tcPr>
            <w:tcW w:w="1521" w:type="dxa"/>
            <w:vAlign w:val="bottom"/>
          </w:tcPr>
          <w:p w14:paraId="6D8BFFA2" w14:textId="4669E541" w:rsidR="00ED5FCE" w:rsidRDefault="00ED5FCE" w:rsidP="00ED5FCE">
            <w:pPr>
              <w:autoSpaceDE w:val="0"/>
              <w:autoSpaceDN w:val="0"/>
              <w:adjustRightInd w:val="0"/>
              <w:jc w:val="right"/>
              <w:rPr>
                <w:color w:val="000000"/>
              </w:rPr>
            </w:pPr>
            <w:r>
              <w:rPr>
                <w:rFonts w:ascii="Calibri" w:hAnsi="Calibri" w:cs="Calibri"/>
                <w:color w:val="000000"/>
              </w:rPr>
              <w:t>2021</w:t>
            </w:r>
          </w:p>
        </w:tc>
        <w:tc>
          <w:tcPr>
            <w:tcW w:w="1521" w:type="dxa"/>
            <w:vAlign w:val="bottom"/>
          </w:tcPr>
          <w:p w14:paraId="2EDAE0B0" w14:textId="1203D8AB" w:rsidR="00ED5FCE" w:rsidRDefault="00ED5FCE" w:rsidP="00ED5FCE">
            <w:pPr>
              <w:autoSpaceDE w:val="0"/>
              <w:autoSpaceDN w:val="0"/>
              <w:adjustRightInd w:val="0"/>
              <w:jc w:val="right"/>
              <w:rPr>
                <w:color w:val="000000"/>
              </w:rPr>
            </w:pPr>
            <w:r>
              <w:rPr>
                <w:rFonts w:ascii="Calibri" w:hAnsi="Calibri" w:cs="Calibri"/>
                <w:color w:val="000000"/>
              </w:rPr>
              <w:t>177.2</w:t>
            </w:r>
          </w:p>
        </w:tc>
        <w:tc>
          <w:tcPr>
            <w:tcW w:w="1521" w:type="dxa"/>
            <w:vAlign w:val="bottom"/>
          </w:tcPr>
          <w:p w14:paraId="1DEA9D13" w14:textId="389BDABC" w:rsidR="00ED5FCE" w:rsidRDefault="00ED5FCE" w:rsidP="00ED5FCE">
            <w:pPr>
              <w:autoSpaceDE w:val="0"/>
              <w:autoSpaceDN w:val="0"/>
              <w:adjustRightInd w:val="0"/>
              <w:jc w:val="right"/>
              <w:rPr>
                <w:color w:val="000000"/>
              </w:rPr>
            </w:pPr>
            <w:r>
              <w:rPr>
                <w:rFonts w:ascii="Calibri" w:hAnsi="Calibri" w:cs="Calibri"/>
                <w:color w:val="000000"/>
              </w:rPr>
              <w:t>3.8</w:t>
            </w:r>
          </w:p>
        </w:tc>
      </w:tr>
      <w:tr w:rsidR="00ED5FCE" w14:paraId="5CD4EC58" w14:textId="77777777" w:rsidTr="00A16F26">
        <w:trPr>
          <w:trHeight w:val="290"/>
          <w:jc w:val="center"/>
        </w:trPr>
        <w:tc>
          <w:tcPr>
            <w:tcW w:w="1521" w:type="dxa"/>
            <w:vAlign w:val="bottom"/>
          </w:tcPr>
          <w:p w14:paraId="58087D68" w14:textId="59A53A95" w:rsidR="00ED5FCE" w:rsidRDefault="00ED5FCE" w:rsidP="00ED5FCE">
            <w:pPr>
              <w:autoSpaceDE w:val="0"/>
              <w:autoSpaceDN w:val="0"/>
              <w:adjustRightInd w:val="0"/>
              <w:jc w:val="right"/>
              <w:rPr>
                <w:color w:val="000000"/>
              </w:rPr>
            </w:pPr>
            <w:r>
              <w:rPr>
                <w:rFonts w:ascii="Calibri" w:hAnsi="Calibri" w:cs="Calibri"/>
                <w:color w:val="000000"/>
              </w:rPr>
              <w:t>2022</w:t>
            </w:r>
          </w:p>
        </w:tc>
        <w:tc>
          <w:tcPr>
            <w:tcW w:w="1521" w:type="dxa"/>
            <w:vAlign w:val="bottom"/>
          </w:tcPr>
          <w:p w14:paraId="58BFEF66" w14:textId="4E232421" w:rsidR="00ED5FCE" w:rsidRDefault="00ED5FCE" w:rsidP="00ED5FCE">
            <w:pPr>
              <w:autoSpaceDE w:val="0"/>
              <w:autoSpaceDN w:val="0"/>
              <w:adjustRightInd w:val="0"/>
              <w:jc w:val="right"/>
              <w:rPr>
                <w:color w:val="000000"/>
              </w:rPr>
            </w:pPr>
            <w:r>
              <w:rPr>
                <w:rFonts w:ascii="Calibri" w:hAnsi="Calibri" w:cs="Calibri"/>
                <w:color w:val="000000"/>
              </w:rPr>
              <w:t>169.9</w:t>
            </w:r>
          </w:p>
        </w:tc>
        <w:tc>
          <w:tcPr>
            <w:tcW w:w="1521" w:type="dxa"/>
            <w:vAlign w:val="bottom"/>
          </w:tcPr>
          <w:p w14:paraId="564FF61E" w14:textId="352DEAEB" w:rsidR="00ED5FCE" w:rsidRDefault="00ED5FCE" w:rsidP="00ED5FCE">
            <w:pPr>
              <w:autoSpaceDE w:val="0"/>
              <w:autoSpaceDN w:val="0"/>
              <w:adjustRightInd w:val="0"/>
              <w:jc w:val="right"/>
              <w:rPr>
                <w:color w:val="000000"/>
              </w:rPr>
            </w:pPr>
            <w:r>
              <w:rPr>
                <w:rFonts w:ascii="Calibri" w:hAnsi="Calibri" w:cs="Calibri"/>
                <w:color w:val="000000"/>
              </w:rPr>
              <w:t>3.3</w:t>
            </w:r>
          </w:p>
        </w:tc>
      </w:tr>
      <w:tr w:rsidR="00ED5FCE" w14:paraId="789FBE9C" w14:textId="77777777" w:rsidTr="00A16F26">
        <w:trPr>
          <w:trHeight w:val="290"/>
          <w:jc w:val="center"/>
        </w:trPr>
        <w:tc>
          <w:tcPr>
            <w:tcW w:w="1521" w:type="dxa"/>
            <w:vAlign w:val="bottom"/>
          </w:tcPr>
          <w:p w14:paraId="6F7BE1AE" w14:textId="54440AED" w:rsidR="00ED5FCE" w:rsidRDefault="00ED5FCE" w:rsidP="00ED5FCE">
            <w:pPr>
              <w:autoSpaceDE w:val="0"/>
              <w:autoSpaceDN w:val="0"/>
              <w:adjustRightInd w:val="0"/>
              <w:jc w:val="right"/>
              <w:rPr>
                <w:color w:val="000000"/>
              </w:rPr>
            </w:pPr>
            <w:r>
              <w:rPr>
                <w:rFonts w:ascii="Calibri" w:hAnsi="Calibri" w:cs="Calibri"/>
                <w:color w:val="000000"/>
              </w:rPr>
              <w:t>2023</w:t>
            </w:r>
          </w:p>
        </w:tc>
        <w:tc>
          <w:tcPr>
            <w:tcW w:w="1521" w:type="dxa"/>
            <w:vAlign w:val="bottom"/>
          </w:tcPr>
          <w:p w14:paraId="7E8DB7C2" w14:textId="3D9A068C" w:rsidR="00ED5FCE" w:rsidRDefault="00ED5FCE" w:rsidP="00ED5FCE">
            <w:pPr>
              <w:autoSpaceDE w:val="0"/>
              <w:autoSpaceDN w:val="0"/>
              <w:adjustRightInd w:val="0"/>
              <w:jc w:val="right"/>
              <w:rPr>
                <w:color w:val="000000"/>
              </w:rPr>
            </w:pPr>
            <w:r>
              <w:rPr>
                <w:rFonts w:ascii="Calibri" w:hAnsi="Calibri" w:cs="Calibri"/>
                <w:color w:val="000000"/>
              </w:rPr>
              <w:t>161.9</w:t>
            </w:r>
          </w:p>
        </w:tc>
        <w:tc>
          <w:tcPr>
            <w:tcW w:w="1521" w:type="dxa"/>
            <w:vAlign w:val="bottom"/>
          </w:tcPr>
          <w:p w14:paraId="1DCF8EE1" w14:textId="58FA0625" w:rsidR="00ED5FCE" w:rsidRDefault="00ED5FCE" w:rsidP="00ED5FCE">
            <w:pPr>
              <w:autoSpaceDE w:val="0"/>
              <w:autoSpaceDN w:val="0"/>
              <w:adjustRightInd w:val="0"/>
              <w:jc w:val="right"/>
              <w:rPr>
                <w:color w:val="000000"/>
              </w:rPr>
            </w:pPr>
            <w:r>
              <w:rPr>
                <w:rFonts w:ascii="Calibri" w:hAnsi="Calibri" w:cs="Calibri"/>
                <w:color w:val="000000"/>
              </w:rPr>
              <w:t>3.0</w:t>
            </w:r>
          </w:p>
        </w:tc>
      </w:tr>
      <w:tr w:rsidR="00ED5FCE" w14:paraId="3D0B5DCF" w14:textId="77777777" w:rsidTr="00A16F26">
        <w:trPr>
          <w:trHeight w:val="290"/>
          <w:jc w:val="center"/>
        </w:trPr>
        <w:tc>
          <w:tcPr>
            <w:tcW w:w="1521" w:type="dxa"/>
            <w:vAlign w:val="bottom"/>
          </w:tcPr>
          <w:p w14:paraId="23605D23" w14:textId="06DCBE9C" w:rsidR="00ED5FCE" w:rsidRDefault="00ED5FCE" w:rsidP="00ED5FCE">
            <w:pPr>
              <w:autoSpaceDE w:val="0"/>
              <w:autoSpaceDN w:val="0"/>
              <w:adjustRightInd w:val="0"/>
              <w:jc w:val="right"/>
              <w:rPr>
                <w:color w:val="000000"/>
              </w:rPr>
            </w:pPr>
            <w:r>
              <w:rPr>
                <w:rFonts w:ascii="Calibri" w:hAnsi="Calibri" w:cs="Calibri"/>
                <w:color w:val="000000"/>
              </w:rPr>
              <w:t>2024</w:t>
            </w:r>
          </w:p>
        </w:tc>
        <w:tc>
          <w:tcPr>
            <w:tcW w:w="1521" w:type="dxa"/>
            <w:vAlign w:val="bottom"/>
          </w:tcPr>
          <w:p w14:paraId="42E1C1EF" w14:textId="0ACA98C1" w:rsidR="00ED5FCE" w:rsidRDefault="00ED5FCE" w:rsidP="00ED5FCE">
            <w:pPr>
              <w:autoSpaceDE w:val="0"/>
              <w:autoSpaceDN w:val="0"/>
              <w:adjustRightInd w:val="0"/>
              <w:jc w:val="right"/>
              <w:rPr>
                <w:color w:val="000000"/>
              </w:rPr>
            </w:pPr>
            <w:r>
              <w:rPr>
                <w:rFonts w:ascii="Calibri" w:hAnsi="Calibri" w:cs="Calibri"/>
                <w:color w:val="000000"/>
              </w:rPr>
              <w:t>153.7</w:t>
            </w:r>
          </w:p>
        </w:tc>
        <w:tc>
          <w:tcPr>
            <w:tcW w:w="1521" w:type="dxa"/>
            <w:vAlign w:val="bottom"/>
          </w:tcPr>
          <w:p w14:paraId="69D9CCD5" w14:textId="1952D964" w:rsidR="00ED5FCE" w:rsidRDefault="00ED5FCE" w:rsidP="00ED5FCE">
            <w:pPr>
              <w:autoSpaceDE w:val="0"/>
              <w:autoSpaceDN w:val="0"/>
              <w:adjustRightInd w:val="0"/>
              <w:jc w:val="right"/>
              <w:rPr>
                <w:color w:val="000000"/>
              </w:rPr>
            </w:pPr>
            <w:r>
              <w:rPr>
                <w:rFonts w:ascii="Calibri" w:hAnsi="Calibri" w:cs="Calibri"/>
                <w:color w:val="000000"/>
              </w:rPr>
              <w:t>2.6</w:t>
            </w:r>
          </w:p>
        </w:tc>
      </w:tr>
      <w:tr w:rsidR="00ED5FCE" w14:paraId="07A4A00D" w14:textId="77777777" w:rsidTr="00A16F26">
        <w:trPr>
          <w:trHeight w:val="290"/>
          <w:jc w:val="center"/>
        </w:trPr>
        <w:tc>
          <w:tcPr>
            <w:tcW w:w="1521" w:type="dxa"/>
            <w:vAlign w:val="bottom"/>
          </w:tcPr>
          <w:p w14:paraId="781A8FE9" w14:textId="352339F7" w:rsidR="00ED5FCE" w:rsidRDefault="00ED5FCE" w:rsidP="00ED5FCE">
            <w:pPr>
              <w:autoSpaceDE w:val="0"/>
              <w:autoSpaceDN w:val="0"/>
              <w:adjustRightInd w:val="0"/>
              <w:jc w:val="right"/>
              <w:rPr>
                <w:color w:val="000000"/>
              </w:rPr>
            </w:pPr>
            <w:r>
              <w:rPr>
                <w:rFonts w:ascii="Calibri" w:hAnsi="Calibri" w:cs="Calibri"/>
                <w:color w:val="000000"/>
              </w:rPr>
              <w:t>2025</w:t>
            </w:r>
          </w:p>
        </w:tc>
        <w:tc>
          <w:tcPr>
            <w:tcW w:w="1521" w:type="dxa"/>
            <w:vAlign w:val="bottom"/>
          </w:tcPr>
          <w:p w14:paraId="2E0FC2F3" w14:textId="1A6A8A6D" w:rsidR="00ED5FCE" w:rsidRDefault="00ED5FCE" w:rsidP="00ED5FCE">
            <w:pPr>
              <w:autoSpaceDE w:val="0"/>
              <w:autoSpaceDN w:val="0"/>
              <w:adjustRightInd w:val="0"/>
              <w:jc w:val="right"/>
              <w:rPr>
                <w:color w:val="000000"/>
              </w:rPr>
            </w:pPr>
            <w:r>
              <w:rPr>
                <w:rFonts w:ascii="Calibri" w:hAnsi="Calibri" w:cs="Calibri"/>
                <w:color w:val="000000"/>
              </w:rPr>
              <w:t>145.1</w:t>
            </w:r>
          </w:p>
        </w:tc>
        <w:tc>
          <w:tcPr>
            <w:tcW w:w="1521" w:type="dxa"/>
            <w:vAlign w:val="bottom"/>
          </w:tcPr>
          <w:p w14:paraId="2DB6ADEF" w14:textId="044D3AD0" w:rsidR="00ED5FCE" w:rsidRDefault="00ED5FCE" w:rsidP="00ED5FCE">
            <w:pPr>
              <w:autoSpaceDE w:val="0"/>
              <w:autoSpaceDN w:val="0"/>
              <w:adjustRightInd w:val="0"/>
              <w:jc w:val="right"/>
              <w:rPr>
                <w:color w:val="000000"/>
              </w:rPr>
            </w:pPr>
            <w:r>
              <w:rPr>
                <w:rFonts w:ascii="Calibri" w:hAnsi="Calibri" w:cs="Calibri"/>
                <w:color w:val="000000"/>
              </w:rPr>
              <w:t>2.3</w:t>
            </w:r>
          </w:p>
        </w:tc>
      </w:tr>
      <w:tr w:rsidR="00ED5FCE" w14:paraId="065F207B" w14:textId="77777777" w:rsidTr="00A16F26">
        <w:trPr>
          <w:trHeight w:val="290"/>
          <w:jc w:val="center"/>
        </w:trPr>
        <w:tc>
          <w:tcPr>
            <w:tcW w:w="1521" w:type="dxa"/>
            <w:vAlign w:val="bottom"/>
          </w:tcPr>
          <w:p w14:paraId="519CB663" w14:textId="1E8C6498" w:rsidR="00ED5FCE" w:rsidRDefault="00ED5FCE" w:rsidP="00ED5FCE">
            <w:pPr>
              <w:autoSpaceDE w:val="0"/>
              <w:autoSpaceDN w:val="0"/>
              <w:adjustRightInd w:val="0"/>
              <w:jc w:val="right"/>
              <w:rPr>
                <w:color w:val="000000"/>
              </w:rPr>
            </w:pPr>
            <w:r>
              <w:rPr>
                <w:rFonts w:ascii="Calibri" w:hAnsi="Calibri" w:cs="Calibri"/>
                <w:color w:val="000000"/>
              </w:rPr>
              <w:t>2026</w:t>
            </w:r>
          </w:p>
        </w:tc>
        <w:tc>
          <w:tcPr>
            <w:tcW w:w="1521" w:type="dxa"/>
            <w:vAlign w:val="bottom"/>
          </w:tcPr>
          <w:p w14:paraId="040DDF7E" w14:textId="21D5EE6B" w:rsidR="00ED5FCE" w:rsidRDefault="00ED5FCE" w:rsidP="00ED5FCE">
            <w:pPr>
              <w:autoSpaceDE w:val="0"/>
              <w:autoSpaceDN w:val="0"/>
              <w:adjustRightInd w:val="0"/>
              <w:jc w:val="right"/>
              <w:rPr>
                <w:color w:val="000000"/>
              </w:rPr>
            </w:pPr>
            <w:r>
              <w:rPr>
                <w:rFonts w:ascii="Calibri" w:hAnsi="Calibri" w:cs="Calibri"/>
                <w:color w:val="000000"/>
              </w:rPr>
              <w:t>136.2</w:t>
            </w:r>
          </w:p>
        </w:tc>
        <w:tc>
          <w:tcPr>
            <w:tcW w:w="1521" w:type="dxa"/>
            <w:vAlign w:val="bottom"/>
          </w:tcPr>
          <w:p w14:paraId="23438AFD" w14:textId="272842D5" w:rsidR="00ED5FCE" w:rsidRDefault="00ED5FCE" w:rsidP="00ED5FCE">
            <w:pPr>
              <w:autoSpaceDE w:val="0"/>
              <w:autoSpaceDN w:val="0"/>
              <w:adjustRightInd w:val="0"/>
              <w:jc w:val="right"/>
              <w:rPr>
                <w:color w:val="000000"/>
              </w:rPr>
            </w:pPr>
            <w:r>
              <w:rPr>
                <w:rFonts w:ascii="Calibri" w:hAnsi="Calibri" w:cs="Calibri"/>
                <w:color w:val="000000"/>
              </w:rPr>
              <w:t>1.9</w:t>
            </w:r>
          </w:p>
        </w:tc>
      </w:tr>
      <w:tr w:rsidR="00ED5FCE" w14:paraId="14A0DB45" w14:textId="77777777" w:rsidTr="00A16F26">
        <w:trPr>
          <w:trHeight w:val="290"/>
          <w:jc w:val="center"/>
        </w:trPr>
        <w:tc>
          <w:tcPr>
            <w:tcW w:w="1521" w:type="dxa"/>
            <w:vAlign w:val="bottom"/>
          </w:tcPr>
          <w:p w14:paraId="0A6DC0F7" w14:textId="05F8590F" w:rsidR="00ED5FCE" w:rsidRDefault="00ED5FCE" w:rsidP="00ED5FCE">
            <w:pPr>
              <w:autoSpaceDE w:val="0"/>
              <w:autoSpaceDN w:val="0"/>
              <w:adjustRightInd w:val="0"/>
              <w:jc w:val="right"/>
              <w:rPr>
                <w:color w:val="000000"/>
              </w:rPr>
            </w:pPr>
            <w:r>
              <w:rPr>
                <w:rFonts w:ascii="Calibri" w:hAnsi="Calibri" w:cs="Calibri"/>
                <w:color w:val="000000"/>
              </w:rPr>
              <w:t>2027</w:t>
            </w:r>
          </w:p>
        </w:tc>
        <w:tc>
          <w:tcPr>
            <w:tcW w:w="1521" w:type="dxa"/>
            <w:vAlign w:val="bottom"/>
          </w:tcPr>
          <w:p w14:paraId="2F9072A3" w14:textId="4E98B58D" w:rsidR="00ED5FCE" w:rsidRDefault="00ED5FCE" w:rsidP="00ED5FCE">
            <w:pPr>
              <w:autoSpaceDE w:val="0"/>
              <w:autoSpaceDN w:val="0"/>
              <w:adjustRightInd w:val="0"/>
              <w:jc w:val="right"/>
              <w:rPr>
                <w:color w:val="000000"/>
              </w:rPr>
            </w:pPr>
            <w:r>
              <w:rPr>
                <w:rFonts w:ascii="Calibri" w:hAnsi="Calibri" w:cs="Calibri"/>
                <w:color w:val="000000"/>
              </w:rPr>
              <w:t>127.1</w:t>
            </w:r>
          </w:p>
        </w:tc>
        <w:tc>
          <w:tcPr>
            <w:tcW w:w="1521" w:type="dxa"/>
            <w:vAlign w:val="bottom"/>
          </w:tcPr>
          <w:p w14:paraId="538AA5D0" w14:textId="5379C9B3" w:rsidR="00ED5FCE" w:rsidRDefault="00ED5FCE" w:rsidP="00ED5FCE">
            <w:pPr>
              <w:autoSpaceDE w:val="0"/>
              <w:autoSpaceDN w:val="0"/>
              <w:adjustRightInd w:val="0"/>
              <w:jc w:val="right"/>
              <w:rPr>
                <w:color w:val="000000"/>
              </w:rPr>
            </w:pPr>
            <w:r>
              <w:rPr>
                <w:rFonts w:ascii="Calibri" w:hAnsi="Calibri" w:cs="Calibri"/>
                <w:color w:val="000000"/>
              </w:rPr>
              <w:t>1.6</w:t>
            </w:r>
          </w:p>
        </w:tc>
      </w:tr>
      <w:tr w:rsidR="00ED5FCE" w14:paraId="390B1CFB" w14:textId="77777777" w:rsidTr="00A16F26">
        <w:trPr>
          <w:trHeight w:val="290"/>
          <w:jc w:val="center"/>
        </w:trPr>
        <w:tc>
          <w:tcPr>
            <w:tcW w:w="1521" w:type="dxa"/>
            <w:vAlign w:val="bottom"/>
          </w:tcPr>
          <w:p w14:paraId="7A08A275" w14:textId="0FA05C07" w:rsidR="00ED5FCE" w:rsidRDefault="00ED5FCE" w:rsidP="00ED5FCE">
            <w:pPr>
              <w:autoSpaceDE w:val="0"/>
              <w:autoSpaceDN w:val="0"/>
              <w:adjustRightInd w:val="0"/>
              <w:jc w:val="right"/>
              <w:rPr>
                <w:color w:val="000000"/>
              </w:rPr>
            </w:pPr>
            <w:r>
              <w:rPr>
                <w:rFonts w:ascii="Calibri" w:hAnsi="Calibri" w:cs="Calibri"/>
                <w:color w:val="000000"/>
              </w:rPr>
              <w:t>2028</w:t>
            </w:r>
          </w:p>
        </w:tc>
        <w:tc>
          <w:tcPr>
            <w:tcW w:w="1521" w:type="dxa"/>
            <w:vAlign w:val="bottom"/>
          </w:tcPr>
          <w:p w14:paraId="384D4BC7" w14:textId="023BABF3" w:rsidR="00ED5FCE" w:rsidRDefault="00ED5FCE" w:rsidP="00ED5FCE">
            <w:pPr>
              <w:autoSpaceDE w:val="0"/>
              <w:autoSpaceDN w:val="0"/>
              <w:adjustRightInd w:val="0"/>
              <w:jc w:val="right"/>
              <w:rPr>
                <w:color w:val="000000"/>
              </w:rPr>
            </w:pPr>
            <w:r>
              <w:rPr>
                <w:rFonts w:ascii="Calibri" w:hAnsi="Calibri" w:cs="Calibri"/>
                <w:color w:val="000000"/>
              </w:rPr>
              <w:t>117.6</w:t>
            </w:r>
          </w:p>
        </w:tc>
        <w:tc>
          <w:tcPr>
            <w:tcW w:w="1521" w:type="dxa"/>
            <w:vAlign w:val="bottom"/>
          </w:tcPr>
          <w:p w14:paraId="0860F314" w14:textId="46404D89" w:rsidR="00ED5FCE" w:rsidRDefault="00ED5FCE" w:rsidP="00ED5FCE">
            <w:pPr>
              <w:autoSpaceDE w:val="0"/>
              <w:autoSpaceDN w:val="0"/>
              <w:adjustRightInd w:val="0"/>
              <w:jc w:val="right"/>
              <w:rPr>
                <w:color w:val="000000"/>
              </w:rPr>
            </w:pPr>
            <w:r>
              <w:rPr>
                <w:rFonts w:ascii="Calibri" w:hAnsi="Calibri" w:cs="Calibri"/>
                <w:color w:val="000000"/>
              </w:rPr>
              <w:t>1.4</w:t>
            </w:r>
          </w:p>
        </w:tc>
      </w:tr>
      <w:tr w:rsidR="00ED5FCE" w14:paraId="7836F8EE" w14:textId="77777777" w:rsidTr="00A16F26">
        <w:trPr>
          <w:trHeight w:val="290"/>
          <w:jc w:val="center"/>
        </w:trPr>
        <w:tc>
          <w:tcPr>
            <w:tcW w:w="1521" w:type="dxa"/>
            <w:vAlign w:val="bottom"/>
          </w:tcPr>
          <w:p w14:paraId="7A6398C1" w14:textId="1131BA10" w:rsidR="00ED5FCE" w:rsidRDefault="00ED5FCE" w:rsidP="00ED5FCE">
            <w:pPr>
              <w:autoSpaceDE w:val="0"/>
              <w:autoSpaceDN w:val="0"/>
              <w:adjustRightInd w:val="0"/>
              <w:jc w:val="right"/>
              <w:rPr>
                <w:color w:val="000000"/>
              </w:rPr>
            </w:pPr>
            <w:r>
              <w:rPr>
                <w:rFonts w:ascii="Calibri" w:hAnsi="Calibri" w:cs="Calibri"/>
                <w:color w:val="000000"/>
              </w:rPr>
              <w:t>2029</w:t>
            </w:r>
          </w:p>
        </w:tc>
        <w:tc>
          <w:tcPr>
            <w:tcW w:w="1521" w:type="dxa"/>
            <w:vAlign w:val="bottom"/>
          </w:tcPr>
          <w:p w14:paraId="59E82091" w14:textId="2BEB6CD2" w:rsidR="00ED5FCE" w:rsidRDefault="00ED5FCE" w:rsidP="00ED5FCE">
            <w:pPr>
              <w:autoSpaceDE w:val="0"/>
              <w:autoSpaceDN w:val="0"/>
              <w:adjustRightInd w:val="0"/>
              <w:jc w:val="right"/>
              <w:rPr>
                <w:color w:val="000000"/>
              </w:rPr>
            </w:pPr>
            <w:r>
              <w:rPr>
                <w:rFonts w:ascii="Calibri" w:hAnsi="Calibri" w:cs="Calibri"/>
                <w:color w:val="000000"/>
              </w:rPr>
              <w:t>107.9</w:t>
            </w:r>
          </w:p>
        </w:tc>
        <w:tc>
          <w:tcPr>
            <w:tcW w:w="1521" w:type="dxa"/>
            <w:vAlign w:val="bottom"/>
          </w:tcPr>
          <w:p w14:paraId="39364FA4" w14:textId="01BA7BED" w:rsidR="00ED5FCE" w:rsidRDefault="00ED5FCE" w:rsidP="00ED5FCE">
            <w:pPr>
              <w:autoSpaceDE w:val="0"/>
              <w:autoSpaceDN w:val="0"/>
              <w:adjustRightInd w:val="0"/>
              <w:jc w:val="right"/>
              <w:rPr>
                <w:color w:val="000000"/>
              </w:rPr>
            </w:pPr>
            <w:r>
              <w:rPr>
                <w:rFonts w:ascii="Calibri" w:hAnsi="Calibri" w:cs="Calibri"/>
                <w:color w:val="000000"/>
              </w:rPr>
              <w:t>1.3</w:t>
            </w:r>
          </w:p>
        </w:tc>
      </w:tr>
      <w:tr w:rsidR="00ED5FCE" w14:paraId="47F54FDC" w14:textId="77777777" w:rsidTr="00A16F26">
        <w:trPr>
          <w:trHeight w:val="290"/>
          <w:jc w:val="center"/>
        </w:trPr>
        <w:tc>
          <w:tcPr>
            <w:tcW w:w="1521" w:type="dxa"/>
            <w:vAlign w:val="bottom"/>
          </w:tcPr>
          <w:p w14:paraId="6FF8CBA7" w14:textId="2D33BC42" w:rsidR="00ED5FCE" w:rsidRDefault="00ED5FCE" w:rsidP="00ED5FCE">
            <w:pPr>
              <w:autoSpaceDE w:val="0"/>
              <w:autoSpaceDN w:val="0"/>
              <w:adjustRightInd w:val="0"/>
              <w:jc w:val="right"/>
              <w:rPr>
                <w:color w:val="000000"/>
              </w:rPr>
            </w:pPr>
            <w:r>
              <w:rPr>
                <w:rFonts w:ascii="Calibri" w:hAnsi="Calibri" w:cs="Calibri"/>
                <w:color w:val="000000"/>
              </w:rPr>
              <w:t>2030</w:t>
            </w:r>
          </w:p>
        </w:tc>
        <w:tc>
          <w:tcPr>
            <w:tcW w:w="1521" w:type="dxa"/>
            <w:vAlign w:val="bottom"/>
          </w:tcPr>
          <w:p w14:paraId="36A9B5FD" w14:textId="6A30D916" w:rsidR="00ED5FCE" w:rsidRDefault="00ED5FCE" w:rsidP="00ED5FCE">
            <w:pPr>
              <w:autoSpaceDE w:val="0"/>
              <w:autoSpaceDN w:val="0"/>
              <w:adjustRightInd w:val="0"/>
              <w:jc w:val="right"/>
              <w:rPr>
                <w:color w:val="000000"/>
              </w:rPr>
            </w:pPr>
            <w:r>
              <w:rPr>
                <w:rFonts w:ascii="Calibri" w:hAnsi="Calibri" w:cs="Calibri"/>
                <w:color w:val="000000"/>
              </w:rPr>
              <w:t>97.9</w:t>
            </w:r>
          </w:p>
        </w:tc>
        <w:tc>
          <w:tcPr>
            <w:tcW w:w="1521" w:type="dxa"/>
            <w:vAlign w:val="bottom"/>
          </w:tcPr>
          <w:p w14:paraId="27B7692D" w14:textId="6F04FE5A" w:rsidR="00ED5FCE" w:rsidRDefault="00ED5FCE" w:rsidP="00ED5FCE">
            <w:pPr>
              <w:autoSpaceDE w:val="0"/>
              <w:autoSpaceDN w:val="0"/>
              <w:adjustRightInd w:val="0"/>
              <w:jc w:val="right"/>
              <w:rPr>
                <w:color w:val="000000"/>
              </w:rPr>
            </w:pPr>
            <w:r>
              <w:rPr>
                <w:rFonts w:ascii="Calibri" w:hAnsi="Calibri" w:cs="Calibri"/>
                <w:color w:val="000000"/>
              </w:rPr>
              <w:t>1.1</w:t>
            </w:r>
          </w:p>
        </w:tc>
      </w:tr>
      <w:tr w:rsidR="00ED5FCE" w14:paraId="776CBD73" w14:textId="77777777" w:rsidTr="00A16F26">
        <w:trPr>
          <w:trHeight w:val="290"/>
          <w:jc w:val="center"/>
        </w:trPr>
        <w:tc>
          <w:tcPr>
            <w:tcW w:w="1521" w:type="dxa"/>
            <w:vAlign w:val="bottom"/>
          </w:tcPr>
          <w:p w14:paraId="290588BC" w14:textId="4FC4C355" w:rsidR="00ED5FCE" w:rsidRDefault="00ED5FCE" w:rsidP="00ED5FCE">
            <w:pPr>
              <w:autoSpaceDE w:val="0"/>
              <w:autoSpaceDN w:val="0"/>
              <w:adjustRightInd w:val="0"/>
              <w:jc w:val="right"/>
              <w:rPr>
                <w:color w:val="000000"/>
              </w:rPr>
            </w:pPr>
            <w:r>
              <w:rPr>
                <w:rFonts w:ascii="Calibri" w:hAnsi="Calibri" w:cs="Calibri"/>
                <w:color w:val="000000"/>
              </w:rPr>
              <w:t>2031</w:t>
            </w:r>
          </w:p>
        </w:tc>
        <w:tc>
          <w:tcPr>
            <w:tcW w:w="1521" w:type="dxa"/>
            <w:vAlign w:val="bottom"/>
          </w:tcPr>
          <w:p w14:paraId="545B57A8" w14:textId="2D9EBFFA" w:rsidR="00ED5FCE" w:rsidRDefault="00ED5FCE" w:rsidP="00ED5FCE">
            <w:pPr>
              <w:autoSpaceDE w:val="0"/>
              <w:autoSpaceDN w:val="0"/>
              <w:adjustRightInd w:val="0"/>
              <w:jc w:val="right"/>
              <w:rPr>
                <w:color w:val="000000"/>
              </w:rPr>
            </w:pPr>
            <w:r>
              <w:rPr>
                <w:rFonts w:ascii="Calibri" w:hAnsi="Calibri" w:cs="Calibri"/>
                <w:color w:val="000000"/>
              </w:rPr>
              <w:t>87.5</w:t>
            </w:r>
          </w:p>
        </w:tc>
        <w:tc>
          <w:tcPr>
            <w:tcW w:w="1521" w:type="dxa"/>
            <w:vAlign w:val="bottom"/>
          </w:tcPr>
          <w:p w14:paraId="4F3EAD2F" w14:textId="3E37A845" w:rsidR="00ED5FCE" w:rsidRDefault="00ED5FCE" w:rsidP="00ED5FCE">
            <w:pPr>
              <w:autoSpaceDE w:val="0"/>
              <w:autoSpaceDN w:val="0"/>
              <w:adjustRightInd w:val="0"/>
              <w:jc w:val="right"/>
              <w:rPr>
                <w:color w:val="000000"/>
              </w:rPr>
            </w:pPr>
            <w:r>
              <w:rPr>
                <w:rFonts w:ascii="Calibri" w:hAnsi="Calibri" w:cs="Calibri"/>
                <w:color w:val="000000"/>
              </w:rPr>
              <w:t>1.0</w:t>
            </w:r>
          </w:p>
        </w:tc>
      </w:tr>
      <w:tr w:rsidR="00ED5FCE" w14:paraId="1E12AC4C" w14:textId="77777777" w:rsidTr="00A16F26">
        <w:trPr>
          <w:trHeight w:val="290"/>
          <w:jc w:val="center"/>
        </w:trPr>
        <w:tc>
          <w:tcPr>
            <w:tcW w:w="1521" w:type="dxa"/>
            <w:vAlign w:val="bottom"/>
          </w:tcPr>
          <w:p w14:paraId="21ACEB93" w14:textId="16A87318" w:rsidR="00ED5FCE" w:rsidRDefault="00ED5FCE" w:rsidP="00ED5FCE">
            <w:pPr>
              <w:autoSpaceDE w:val="0"/>
              <w:autoSpaceDN w:val="0"/>
              <w:adjustRightInd w:val="0"/>
              <w:jc w:val="right"/>
              <w:rPr>
                <w:color w:val="000000"/>
              </w:rPr>
            </w:pPr>
            <w:r>
              <w:rPr>
                <w:rFonts w:ascii="Calibri" w:hAnsi="Calibri" w:cs="Calibri"/>
                <w:color w:val="000000"/>
              </w:rPr>
              <w:t>2032</w:t>
            </w:r>
          </w:p>
        </w:tc>
        <w:tc>
          <w:tcPr>
            <w:tcW w:w="1521" w:type="dxa"/>
            <w:vAlign w:val="bottom"/>
          </w:tcPr>
          <w:p w14:paraId="01D6378E" w14:textId="783F3FB9" w:rsidR="00ED5FCE" w:rsidRDefault="00ED5FCE" w:rsidP="00ED5FCE">
            <w:pPr>
              <w:autoSpaceDE w:val="0"/>
              <w:autoSpaceDN w:val="0"/>
              <w:adjustRightInd w:val="0"/>
              <w:jc w:val="right"/>
              <w:rPr>
                <w:color w:val="000000"/>
              </w:rPr>
            </w:pPr>
            <w:r>
              <w:rPr>
                <w:rFonts w:ascii="Calibri" w:hAnsi="Calibri" w:cs="Calibri"/>
                <w:color w:val="000000"/>
              </w:rPr>
              <w:t>76.9</w:t>
            </w:r>
          </w:p>
        </w:tc>
        <w:tc>
          <w:tcPr>
            <w:tcW w:w="1521" w:type="dxa"/>
            <w:vAlign w:val="bottom"/>
          </w:tcPr>
          <w:p w14:paraId="121DEB33" w14:textId="2D7C8230" w:rsidR="00ED5FCE" w:rsidRDefault="00ED5FCE" w:rsidP="00ED5FCE">
            <w:pPr>
              <w:autoSpaceDE w:val="0"/>
              <w:autoSpaceDN w:val="0"/>
              <w:adjustRightInd w:val="0"/>
              <w:jc w:val="right"/>
              <w:rPr>
                <w:color w:val="000000"/>
              </w:rPr>
            </w:pPr>
            <w:r>
              <w:rPr>
                <w:rFonts w:ascii="Calibri" w:hAnsi="Calibri" w:cs="Calibri"/>
                <w:color w:val="000000"/>
              </w:rPr>
              <w:t>1.0</w:t>
            </w:r>
          </w:p>
        </w:tc>
      </w:tr>
      <w:tr w:rsidR="00ED5FCE" w14:paraId="7C159724" w14:textId="77777777" w:rsidTr="00A16F26">
        <w:trPr>
          <w:trHeight w:val="290"/>
          <w:jc w:val="center"/>
        </w:trPr>
        <w:tc>
          <w:tcPr>
            <w:tcW w:w="1521" w:type="dxa"/>
            <w:vAlign w:val="bottom"/>
          </w:tcPr>
          <w:p w14:paraId="4D6894CF" w14:textId="3F7DBFD5" w:rsidR="00ED5FCE" w:rsidRDefault="00ED5FCE" w:rsidP="00ED5FCE">
            <w:pPr>
              <w:autoSpaceDE w:val="0"/>
              <w:autoSpaceDN w:val="0"/>
              <w:adjustRightInd w:val="0"/>
              <w:jc w:val="right"/>
              <w:rPr>
                <w:color w:val="000000"/>
              </w:rPr>
            </w:pPr>
            <w:r>
              <w:rPr>
                <w:rFonts w:ascii="Calibri" w:hAnsi="Calibri" w:cs="Calibri"/>
                <w:color w:val="000000"/>
              </w:rPr>
              <w:t>2033</w:t>
            </w:r>
          </w:p>
        </w:tc>
        <w:tc>
          <w:tcPr>
            <w:tcW w:w="1521" w:type="dxa"/>
            <w:vAlign w:val="bottom"/>
          </w:tcPr>
          <w:p w14:paraId="4021A1B1" w14:textId="1C9B2728" w:rsidR="00ED5FCE" w:rsidRDefault="00ED5FCE" w:rsidP="00ED5FCE">
            <w:pPr>
              <w:autoSpaceDE w:val="0"/>
              <w:autoSpaceDN w:val="0"/>
              <w:adjustRightInd w:val="0"/>
              <w:jc w:val="right"/>
              <w:rPr>
                <w:color w:val="000000"/>
              </w:rPr>
            </w:pPr>
            <w:r>
              <w:rPr>
                <w:rFonts w:ascii="Calibri" w:hAnsi="Calibri" w:cs="Calibri"/>
                <w:color w:val="000000"/>
              </w:rPr>
              <w:t>66.0</w:t>
            </w:r>
          </w:p>
        </w:tc>
        <w:tc>
          <w:tcPr>
            <w:tcW w:w="1521" w:type="dxa"/>
            <w:vAlign w:val="bottom"/>
          </w:tcPr>
          <w:p w14:paraId="6544CAA1" w14:textId="0739FA75" w:rsidR="00ED5FCE" w:rsidRDefault="00ED5FCE" w:rsidP="00ED5FCE">
            <w:pPr>
              <w:autoSpaceDE w:val="0"/>
              <w:autoSpaceDN w:val="0"/>
              <w:adjustRightInd w:val="0"/>
              <w:jc w:val="right"/>
              <w:rPr>
                <w:color w:val="000000"/>
              </w:rPr>
            </w:pPr>
            <w:r>
              <w:rPr>
                <w:rFonts w:ascii="Calibri" w:hAnsi="Calibri" w:cs="Calibri"/>
                <w:color w:val="000000"/>
              </w:rPr>
              <w:t>0.9</w:t>
            </w:r>
          </w:p>
        </w:tc>
      </w:tr>
      <w:tr w:rsidR="00ED5FCE" w14:paraId="5600E58E" w14:textId="77777777" w:rsidTr="00A16F26">
        <w:trPr>
          <w:trHeight w:val="290"/>
          <w:jc w:val="center"/>
        </w:trPr>
        <w:tc>
          <w:tcPr>
            <w:tcW w:w="1521" w:type="dxa"/>
            <w:vAlign w:val="bottom"/>
          </w:tcPr>
          <w:p w14:paraId="63544B38" w14:textId="09193552" w:rsidR="00ED5FCE" w:rsidRDefault="00ED5FCE" w:rsidP="00ED5FCE">
            <w:pPr>
              <w:autoSpaceDE w:val="0"/>
              <w:autoSpaceDN w:val="0"/>
              <w:adjustRightInd w:val="0"/>
              <w:jc w:val="right"/>
              <w:rPr>
                <w:color w:val="000000"/>
              </w:rPr>
            </w:pPr>
            <w:r>
              <w:rPr>
                <w:rFonts w:ascii="Calibri" w:hAnsi="Calibri" w:cs="Calibri"/>
                <w:color w:val="000000"/>
              </w:rPr>
              <w:t>2034</w:t>
            </w:r>
          </w:p>
        </w:tc>
        <w:tc>
          <w:tcPr>
            <w:tcW w:w="1521" w:type="dxa"/>
            <w:vAlign w:val="bottom"/>
          </w:tcPr>
          <w:p w14:paraId="33D68906" w14:textId="564A1493" w:rsidR="00ED5FCE" w:rsidRDefault="00ED5FCE" w:rsidP="00ED5FCE">
            <w:pPr>
              <w:autoSpaceDE w:val="0"/>
              <w:autoSpaceDN w:val="0"/>
              <w:adjustRightInd w:val="0"/>
              <w:jc w:val="right"/>
              <w:rPr>
                <w:color w:val="000000"/>
              </w:rPr>
            </w:pPr>
            <w:r>
              <w:rPr>
                <w:rFonts w:ascii="Calibri" w:hAnsi="Calibri" w:cs="Calibri"/>
                <w:color w:val="000000"/>
              </w:rPr>
              <w:t>54.8</w:t>
            </w:r>
          </w:p>
        </w:tc>
        <w:tc>
          <w:tcPr>
            <w:tcW w:w="1521" w:type="dxa"/>
            <w:vAlign w:val="bottom"/>
          </w:tcPr>
          <w:p w14:paraId="48537150" w14:textId="73041C79" w:rsidR="00ED5FCE" w:rsidRDefault="00ED5FCE" w:rsidP="00ED5FCE">
            <w:pPr>
              <w:autoSpaceDE w:val="0"/>
              <w:autoSpaceDN w:val="0"/>
              <w:adjustRightInd w:val="0"/>
              <w:jc w:val="right"/>
              <w:rPr>
                <w:color w:val="000000"/>
              </w:rPr>
            </w:pPr>
            <w:r>
              <w:rPr>
                <w:rFonts w:ascii="Calibri" w:hAnsi="Calibri" w:cs="Calibri"/>
                <w:color w:val="000000"/>
              </w:rPr>
              <w:t>0.8</w:t>
            </w:r>
          </w:p>
        </w:tc>
      </w:tr>
      <w:tr w:rsidR="00ED5FCE" w14:paraId="413BFB31" w14:textId="77777777" w:rsidTr="00A16F26">
        <w:trPr>
          <w:trHeight w:val="290"/>
          <w:jc w:val="center"/>
        </w:trPr>
        <w:tc>
          <w:tcPr>
            <w:tcW w:w="1521" w:type="dxa"/>
            <w:vAlign w:val="bottom"/>
          </w:tcPr>
          <w:p w14:paraId="7B73575E" w14:textId="6CE46D90" w:rsidR="00ED5FCE" w:rsidRDefault="00ED5FCE" w:rsidP="00ED5FCE">
            <w:pPr>
              <w:autoSpaceDE w:val="0"/>
              <w:autoSpaceDN w:val="0"/>
              <w:adjustRightInd w:val="0"/>
              <w:jc w:val="right"/>
              <w:rPr>
                <w:color w:val="000000"/>
              </w:rPr>
            </w:pPr>
            <w:r>
              <w:rPr>
                <w:rFonts w:ascii="Calibri" w:hAnsi="Calibri" w:cs="Calibri"/>
                <w:color w:val="000000"/>
              </w:rPr>
              <w:t>2035</w:t>
            </w:r>
          </w:p>
        </w:tc>
        <w:tc>
          <w:tcPr>
            <w:tcW w:w="1521" w:type="dxa"/>
            <w:vAlign w:val="bottom"/>
          </w:tcPr>
          <w:p w14:paraId="12EBA8BD" w14:textId="7FC53C53" w:rsidR="00ED5FCE" w:rsidRDefault="00ED5FCE" w:rsidP="00ED5FCE">
            <w:pPr>
              <w:autoSpaceDE w:val="0"/>
              <w:autoSpaceDN w:val="0"/>
              <w:adjustRightInd w:val="0"/>
              <w:jc w:val="right"/>
              <w:rPr>
                <w:color w:val="000000"/>
              </w:rPr>
            </w:pPr>
            <w:r>
              <w:rPr>
                <w:rFonts w:ascii="Calibri" w:hAnsi="Calibri" w:cs="Calibri"/>
                <w:color w:val="000000"/>
              </w:rPr>
              <w:t>56.5</w:t>
            </w:r>
          </w:p>
        </w:tc>
        <w:tc>
          <w:tcPr>
            <w:tcW w:w="1521" w:type="dxa"/>
            <w:vAlign w:val="bottom"/>
          </w:tcPr>
          <w:p w14:paraId="75B50A3D" w14:textId="4CA82B6C" w:rsidR="00ED5FCE" w:rsidRDefault="00ED5FCE" w:rsidP="00ED5FCE">
            <w:pPr>
              <w:autoSpaceDE w:val="0"/>
              <w:autoSpaceDN w:val="0"/>
              <w:adjustRightInd w:val="0"/>
              <w:jc w:val="right"/>
              <w:rPr>
                <w:color w:val="000000"/>
              </w:rPr>
            </w:pPr>
            <w:r>
              <w:rPr>
                <w:rFonts w:ascii="Calibri" w:hAnsi="Calibri" w:cs="Calibri"/>
                <w:color w:val="000000"/>
              </w:rPr>
              <w:t>0.7</w:t>
            </w:r>
          </w:p>
        </w:tc>
      </w:tr>
      <w:tr w:rsidR="00ED5FCE" w14:paraId="5F448916" w14:textId="77777777" w:rsidTr="00A16F26">
        <w:trPr>
          <w:trHeight w:val="290"/>
          <w:jc w:val="center"/>
        </w:trPr>
        <w:tc>
          <w:tcPr>
            <w:tcW w:w="1521" w:type="dxa"/>
            <w:vAlign w:val="bottom"/>
          </w:tcPr>
          <w:p w14:paraId="35204F7B" w14:textId="466AA6CE" w:rsidR="00ED5FCE" w:rsidRDefault="00ED5FCE" w:rsidP="00ED5FCE">
            <w:pPr>
              <w:autoSpaceDE w:val="0"/>
              <w:autoSpaceDN w:val="0"/>
              <w:adjustRightInd w:val="0"/>
              <w:jc w:val="right"/>
              <w:rPr>
                <w:color w:val="000000"/>
              </w:rPr>
            </w:pPr>
            <w:r>
              <w:rPr>
                <w:rFonts w:ascii="Calibri" w:hAnsi="Calibri" w:cs="Calibri"/>
                <w:color w:val="000000"/>
              </w:rPr>
              <w:t>2036</w:t>
            </w:r>
          </w:p>
        </w:tc>
        <w:tc>
          <w:tcPr>
            <w:tcW w:w="1521" w:type="dxa"/>
            <w:vAlign w:val="bottom"/>
          </w:tcPr>
          <w:p w14:paraId="339602DE" w14:textId="6A969E08" w:rsidR="00ED5FCE" w:rsidRDefault="00ED5FCE" w:rsidP="00ED5FCE">
            <w:pPr>
              <w:autoSpaceDE w:val="0"/>
              <w:autoSpaceDN w:val="0"/>
              <w:adjustRightInd w:val="0"/>
              <w:jc w:val="right"/>
              <w:rPr>
                <w:color w:val="000000"/>
              </w:rPr>
            </w:pPr>
            <w:r>
              <w:rPr>
                <w:rFonts w:ascii="Calibri" w:hAnsi="Calibri" w:cs="Calibri"/>
                <w:color w:val="000000"/>
              </w:rPr>
              <w:t>58.6</w:t>
            </w:r>
          </w:p>
        </w:tc>
        <w:tc>
          <w:tcPr>
            <w:tcW w:w="1521" w:type="dxa"/>
            <w:vAlign w:val="bottom"/>
          </w:tcPr>
          <w:p w14:paraId="1CF8C8AE" w14:textId="2F3983E8" w:rsidR="00ED5FCE" w:rsidRDefault="00ED5FCE" w:rsidP="00ED5FCE">
            <w:pPr>
              <w:autoSpaceDE w:val="0"/>
              <w:autoSpaceDN w:val="0"/>
              <w:adjustRightInd w:val="0"/>
              <w:jc w:val="right"/>
              <w:rPr>
                <w:color w:val="000000"/>
              </w:rPr>
            </w:pPr>
            <w:r>
              <w:rPr>
                <w:rFonts w:ascii="Calibri" w:hAnsi="Calibri" w:cs="Calibri"/>
                <w:color w:val="000000"/>
              </w:rPr>
              <w:t>0.7</w:t>
            </w:r>
          </w:p>
        </w:tc>
      </w:tr>
      <w:tr w:rsidR="00ED5FCE" w14:paraId="6ABFDBC1" w14:textId="77777777" w:rsidTr="00A16F26">
        <w:trPr>
          <w:trHeight w:val="290"/>
          <w:jc w:val="center"/>
        </w:trPr>
        <w:tc>
          <w:tcPr>
            <w:tcW w:w="1521" w:type="dxa"/>
            <w:vAlign w:val="bottom"/>
          </w:tcPr>
          <w:p w14:paraId="634C0342" w14:textId="6519BDDD" w:rsidR="00ED5FCE" w:rsidRDefault="00ED5FCE" w:rsidP="00ED5FCE">
            <w:pPr>
              <w:autoSpaceDE w:val="0"/>
              <w:autoSpaceDN w:val="0"/>
              <w:adjustRightInd w:val="0"/>
              <w:jc w:val="right"/>
              <w:rPr>
                <w:color w:val="000000"/>
              </w:rPr>
            </w:pPr>
            <w:r>
              <w:rPr>
                <w:rFonts w:ascii="Calibri" w:hAnsi="Calibri" w:cs="Calibri"/>
                <w:color w:val="000000"/>
              </w:rPr>
              <w:t>2037</w:t>
            </w:r>
          </w:p>
        </w:tc>
        <w:tc>
          <w:tcPr>
            <w:tcW w:w="1521" w:type="dxa"/>
            <w:vAlign w:val="bottom"/>
          </w:tcPr>
          <w:p w14:paraId="7625D4E3" w14:textId="4C861D71" w:rsidR="00ED5FCE" w:rsidRDefault="00ED5FCE" w:rsidP="00ED5FCE">
            <w:pPr>
              <w:autoSpaceDE w:val="0"/>
              <w:autoSpaceDN w:val="0"/>
              <w:adjustRightInd w:val="0"/>
              <w:jc w:val="right"/>
              <w:rPr>
                <w:color w:val="000000"/>
              </w:rPr>
            </w:pPr>
            <w:r>
              <w:rPr>
                <w:rFonts w:ascii="Calibri" w:hAnsi="Calibri" w:cs="Calibri"/>
                <w:color w:val="000000"/>
              </w:rPr>
              <w:t>60.6</w:t>
            </w:r>
          </w:p>
        </w:tc>
        <w:tc>
          <w:tcPr>
            <w:tcW w:w="1521" w:type="dxa"/>
            <w:vAlign w:val="bottom"/>
          </w:tcPr>
          <w:p w14:paraId="24650778" w14:textId="502460CD" w:rsidR="00ED5FCE" w:rsidRDefault="00ED5FCE" w:rsidP="00ED5FCE">
            <w:pPr>
              <w:autoSpaceDE w:val="0"/>
              <w:autoSpaceDN w:val="0"/>
              <w:adjustRightInd w:val="0"/>
              <w:jc w:val="right"/>
              <w:rPr>
                <w:color w:val="000000"/>
              </w:rPr>
            </w:pPr>
            <w:r>
              <w:rPr>
                <w:rFonts w:ascii="Calibri" w:hAnsi="Calibri" w:cs="Calibri"/>
                <w:color w:val="000000"/>
              </w:rPr>
              <w:t>0.7</w:t>
            </w:r>
          </w:p>
        </w:tc>
      </w:tr>
      <w:tr w:rsidR="00ED5FCE" w14:paraId="068099D2" w14:textId="77777777" w:rsidTr="00A16F26">
        <w:trPr>
          <w:trHeight w:val="290"/>
          <w:jc w:val="center"/>
        </w:trPr>
        <w:tc>
          <w:tcPr>
            <w:tcW w:w="1521" w:type="dxa"/>
            <w:vAlign w:val="bottom"/>
          </w:tcPr>
          <w:p w14:paraId="5D5E6596" w14:textId="4C48B4BE" w:rsidR="00ED5FCE" w:rsidRDefault="00ED5FCE" w:rsidP="00ED5FCE">
            <w:pPr>
              <w:autoSpaceDE w:val="0"/>
              <w:autoSpaceDN w:val="0"/>
              <w:adjustRightInd w:val="0"/>
              <w:jc w:val="right"/>
              <w:rPr>
                <w:color w:val="000000"/>
              </w:rPr>
            </w:pPr>
            <w:r>
              <w:rPr>
                <w:rFonts w:ascii="Calibri" w:hAnsi="Calibri" w:cs="Calibri"/>
                <w:color w:val="000000"/>
              </w:rPr>
              <w:t>2038</w:t>
            </w:r>
          </w:p>
        </w:tc>
        <w:tc>
          <w:tcPr>
            <w:tcW w:w="1521" w:type="dxa"/>
            <w:vAlign w:val="bottom"/>
          </w:tcPr>
          <w:p w14:paraId="096C099B" w14:textId="1EA26FC4" w:rsidR="00ED5FCE" w:rsidRDefault="00ED5FCE" w:rsidP="00ED5FCE">
            <w:pPr>
              <w:autoSpaceDE w:val="0"/>
              <w:autoSpaceDN w:val="0"/>
              <w:adjustRightInd w:val="0"/>
              <w:jc w:val="right"/>
              <w:rPr>
                <w:color w:val="000000"/>
              </w:rPr>
            </w:pPr>
            <w:r>
              <w:rPr>
                <w:rFonts w:ascii="Calibri" w:hAnsi="Calibri" w:cs="Calibri"/>
                <w:color w:val="000000"/>
              </w:rPr>
              <w:t>62.6</w:t>
            </w:r>
          </w:p>
        </w:tc>
        <w:tc>
          <w:tcPr>
            <w:tcW w:w="1521" w:type="dxa"/>
            <w:vAlign w:val="bottom"/>
          </w:tcPr>
          <w:p w14:paraId="10B9382F" w14:textId="58A67D21" w:rsidR="00ED5FCE" w:rsidRDefault="00ED5FCE" w:rsidP="00ED5FCE">
            <w:pPr>
              <w:autoSpaceDE w:val="0"/>
              <w:autoSpaceDN w:val="0"/>
              <w:adjustRightInd w:val="0"/>
              <w:jc w:val="right"/>
              <w:rPr>
                <w:color w:val="000000"/>
              </w:rPr>
            </w:pPr>
            <w:r>
              <w:rPr>
                <w:rFonts w:ascii="Calibri" w:hAnsi="Calibri" w:cs="Calibri"/>
                <w:color w:val="000000"/>
              </w:rPr>
              <w:t>0.7</w:t>
            </w:r>
          </w:p>
        </w:tc>
      </w:tr>
      <w:tr w:rsidR="00ED5FCE" w14:paraId="11B6015C" w14:textId="77777777" w:rsidTr="00A16F26">
        <w:trPr>
          <w:trHeight w:val="290"/>
          <w:jc w:val="center"/>
        </w:trPr>
        <w:tc>
          <w:tcPr>
            <w:tcW w:w="1521" w:type="dxa"/>
            <w:vAlign w:val="bottom"/>
          </w:tcPr>
          <w:p w14:paraId="0E99D021" w14:textId="76CCB907" w:rsidR="00ED5FCE" w:rsidRDefault="00ED5FCE" w:rsidP="00ED5FCE">
            <w:pPr>
              <w:autoSpaceDE w:val="0"/>
              <w:autoSpaceDN w:val="0"/>
              <w:adjustRightInd w:val="0"/>
              <w:jc w:val="right"/>
              <w:rPr>
                <w:color w:val="000000"/>
              </w:rPr>
            </w:pPr>
            <w:r>
              <w:rPr>
                <w:rFonts w:ascii="Calibri" w:hAnsi="Calibri" w:cs="Calibri"/>
                <w:color w:val="000000"/>
              </w:rPr>
              <w:t>2039</w:t>
            </w:r>
          </w:p>
        </w:tc>
        <w:tc>
          <w:tcPr>
            <w:tcW w:w="1521" w:type="dxa"/>
            <w:vAlign w:val="bottom"/>
          </w:tcPr>
          <w:p w14:paraId="3DD2365D" w14:textId="061B4D68" w:rsidR="00ED5FCE" w:rsidRDefault="00ED5FCE" w:rsidP="00ED5FCE">
            <w:pPr>
              <w:autoSpaceDE w:val="0"/>
              <w:autoSpaceDN w:val="0"/>
              <w:adjustRightInd w:val="0"/>
              <w:jc w:val="right"/>
              <w:rPr>
                <w:color w:val="000000"/>
              </w:rPr>
            </w:pPr>
            <w:r>
              <w:rPr>
                <w:rFonts w:ascii="Calibri" w:hAnsi="Calibri" w:cs="Calibri"/>
                <w:color w:val="000000"/>
              </w:rPr>
              <w:t>64.6</w:t>
            </w:r>
          </w:p>
        </w:tc>
        <w:tc>
          <w:tcPr>
            <w:tcW w:w="1521" w:type="dxa"/>
            <w:vAlign w:val="bottom"/>
          </w:tcPr>
          <w:p w14:paraId="447C665A" w14:textId="60755044" w:rsidR="00ED5FCE" w:rsidRDefault="00ED5FCE" w:rsidP="00ED5FCE">
            <w:pPr>
              <w:autoSpaceDE w:val="0"/>
              <w:autoSpaceDN w:val="0"/>
              <w:adjustRightInd w:val="0"/>
              <w:jc w:val="right"/>
              <w:rPr>
                <w:color w:val="000000"/>
              </w:rPr>
            </w:pPr>
            <w:r>
              <w:rPr>
                <w:rFonts w:ascii="Calibri" w:hAnsi="Calibri" w:cs="Calibri"/>
                <w:color w:val="000000"/>
              </w:rPr>
              <w:t>0.6</w:t>
            </w:r>
          </w:p>
        </w:tc>
      </w:tr>
      <w:tr w:rsidR="00ED5FCE" w14:paraId="501771B5" w14:textId="77777777" w:rsidTr="00A16F26">
        <w:trPr>
          <w:trHeight w:val="290"/>
          <w:jc w:val="center"/>
        </w:trPr>
        <w:tc>
          <w:tcPr>
            <w:tcW w:w="1521" w:type="dxa"/>
            <w:vAlign w:val="bottom"/>
          </w:tcPr>
          <w:p w14:paraId="0E5EEE48" w14:textId="788E31AB" w:rsidR="00ED5FCE" w:rsidRDefault="00ED5FCE" w:rsidP="00ED5FCE">
            <w:pPr>
              <w:autoSpaceDE w:val="0"/>
              <w:autoSpaceDN w:val="0"/>
              <w:adjustRightInd w:val="0"/>
              <w:jc w:val="right"/>
              <w:rPr>
                <w:color w:val="000000"/>
              </w:rPr>
            </w:pPr>
            <w:r>
              <w:rPr>
                <w:rFonts w:ascii="Calibri" w:hAnsi="Calibri" w:cs="Calibri"/>
                <w:color w:val="000000"/>
              </w:rPr>
              <w:t>2040</w:t>
            </w:r>
          </w:p>
        </w:tc>
        <w:tc>
          <w:tcPr>
            <w:tcW w:w="1521" w:type="dxa"/>
            <w:vAlign w:val="bottom"/>
          </w:tcPr>
          <w:p w14:paraId="6AE7FB0C" w14:textId="0F953778" w:rsidR="00ED5FCE" w:rsidRDefault="00ED5FCE" w:rsidP="00ED5FCE">
            <w:pPr>
              <w:autoSpaceDE w:val="0"/>
              <w:autoSpaceDN w:val="0"/>
              <w:adjustRightInd w:val="0"/>
              <w:jc w:val="right"/>
              <w:rPr>
                <w:color w:val="000000"/>
              </w:rPr>
            </w:pPr>
            <w:r>
              <w:rPr>
                <w:rFonts w:ascii="Calibri" w:hAnsi="Calibri" w:cs="Calibri"/>
                <w:color w:val="000000"/>
              </w:rPr>
              <w:t>66.6</w:t>
            </w:r>
          </w:p>
        </w:tc>
        <w:tc>
          <w:tcPr>
            <w:tcW w:w="1521" w:type="dxa"/>
            <w:vAlign w:val="bottom"/>
          </w:tcPr>
          <w:p w14:paraId="6096F2B8" w14:textId="6A7DA63F" w:rsidR="00ED5FCE" w:rsidRDefault="00ED5FCE" w:rsidP="00ED5FCE">
            <w:pPr>
              <w:autoSpaceDE w:val="0"/>
              <w:autoSpaceDN w:val="0"/>
              <w:adjustRightInd w:val="0"/>
              <w:jc w:val="right"/>
              <w:rPr>
                <w:color w:val="000000"/>
              </w:rPr>
            </w:pPr>
            <w:r>
              <w:rPr>
                <w:rFonts w:ascii="Calibri" w:hAnsi="Calibri" w:cs="Calibri"/>
                <w:color w:val="000000"/>
              </w:rPr>
              <w:t>0.6</w:t>
            </w:r>
          </w:p>
        </w:tc>
      </w:tr>
    </w:tbl>
    <w:p w14:paraId="2E721761" w14:textId="77777777" w:rsidR="007344DF" w:rsidRDefault="007344DF" w:rsidP="007344DF">
      <w:pPr>
        <w:rPr>
          <w:b/>
        </w:rPr>
      </w:pPr>
    </w:p>
    <w:p w14:paraId="37D1F4CC" w14:textId="77777777" w:rsidR="00F2281B" w:rsidRDefault="007344DF" w:rsidP="000D69A4">
      <w:pPr>
        <w:rPr>
          <w:rFonts w:ascii="Calibri" w:hAnsi="Calibri" w:cs="Calibri"/>
          <w:color w:val="000000"/>
        </w:rPr>
      </w:pPr>
      <w:r w:rsidRPr="001D0BCD">
        <w:t xml:space="preserve">From the modeled stocks, we first calculated long‐term average baseline stocking level for the first 20-year crediting </w:t>
      </w:r>
      <w:r w:rsidRPr="004846C2">
        <w:t xml:space="preserve">period, </w:t>
      </w:r>
    </w:p>
    <w:p w14:paraId="5B33559C" w14:textId="77777777" w:rsidR="00E064F0" w:rsidRDefault="00E064F0" w:rsidP="00E064F0">
      <w:pPr>
        <w:jc w:val="right"/>
        <w:rPr>
          <w:rFonts w:ascii="Calibri" w:hAnsi="Calibri" w:cs="Calibri"/>
          <w:color w:val="000000"/>
        </w:rPr>
      </w:pPr>
    </w:p>
    <w:p w14:paraId="69F7A9EB" w14:textId="715FACCE" w:rsidR="007344DF" w:rsidRPr="004846C2" w:rsidRDefault="005D0181" w:rsidP="000D69A4">
      <w:pPr>
        <w:spacing w:after="0" w:line="240" w:lineRule="auto"/>
        <w:rPr>
          <w:rFonts w:ascii="Calibri" w:eastAsia="Times New Roman" w:hAnsi="Calibri" w:cs="Calibri"/>
          <w:color w:val="000000"/>
        </w:rPr>
      </w:pPr>
      <w:r>
        <w:t>1,196,262.3</w:t>
      </w:r>
      <w:r w:rsidR="00D2540A">
        <w:t xml:space="preserve"> </w:t>
      </w:r>
      <w:r w:rsidR="007344DF" w:rsidRPr="004846C2">
        <w:t xml:space="preserve">t CO2, and the change in baseline carbon stocks for each year. </w:t>
      </w:r>
    </w:p>
    <w:p w14:paraId="459C49FD" w14:textId="49943D64" w:rsidR="007344DF" w:rsidRDefault="007344DF" w:rsidP="007344DF">
      <w:r w:rsidRPr="004846C2">
        <w:t xml:space="preserve">T, project year </w:t>
      </w:r>
      <w:r w:rsidR="005D0181">
        <w:t>11</w:t>
      </w:r>
      <w:r w:rsidRPr="004846C2">
        <w:t xml:space="preserve"> (</w:t>
      </w:r>
      <w:r w:rsidR="00292958" w:rsidRPr="004846C2">
        <w:t xml:space="preserve">ending </w:t>
      </w:r>
      <w:r w:rsidR="004846C2" w:rsidRPr="004846C2">
        <w:t>November 25 20</w:t>
      </w:r>
      <w:r w:rsidR="005D0181">
        <w:t>30</w:t>
      </w:r>
      <w:r w:rsidRPr="004846C2">
        <w:t xml:space="preserve">), is the year that projected stocking levels in the baseline reach the long-term average, after which </w:t>
      </w:r>
      <w:r w:rsidRPr="004846C2">
        <w:rPr>
          <w:i/>
        </w:rPr>
        <w:t>ΔCBSL,t</w:t>
      </w:r>
      <w:r w:rsidRPr="004846C2">
        <w:t xml:space="preserve">  becomes 0; i.e. the crediting baseline is equal to the modeled baseline until the modeled baseline reaches the long-term average, at which point baseline stocks are assumed to be constant (and subsequent change in stocks is equal to zero).</w:t>
      </w:r>
      <w:r w:rsidRPr="001D0BCD">
        <w:t xml:space="preserve"> </w:t>
      </w:r>
    </w:p>
    <w:p w14:paraId="17CF4B73" w14:textId="77777777" w:rsidR="007344DF" w:rsidRPr="001D0BCD" w:rsidRDefault="007344DF" w:rsidP="007344DF"/>
    <w:p w14:paraId="068E3AC5" w14:textId="77777777" w:rsidR="007344DF" w:rsidRPr="001D0BCD" w:rsidRDefault="007344DF" w:rsidP="007344DF">
      <w:r>
        <w:t xml:space="preserve">The figure below </w:t>
      </w:r>
      <w:r w:rsidRPr="001D0BCD">
        <w:t>depicts the projected baseline stocks, average baseline stock for the first crediting period</w:t>
      </w:r>
      <w:r>
        <w:t>, and projected with-project stocks (see below for derivation of with-project stock projections)</w:t>
      </w:r>
      <w:r w:rsidRPr="001D0BCD">
        <w:t xml:space="preserve">. </w:t>
      </w:r>
    </w:p>
    <w:p w14:paraId="19714FB1" w14:textId="77777777" w:rsidR="007344DF" w:rsidRPr="00E025BE" w:rsidRDefault="007344DF" w:rsidP="007344DF">
      <w:pPr>
        <w:rPr>
          <w:b/>
        </w:rPr>
      </w:pPr>
    </w:p>
    <w:p w14:paraId="2B0AEEA7" w14:textId="61ED7E14" w:rsidR="007344DF" w:rsidRPr="0055652E" w:rsidRDefault="007344DF" w:rsidP="007344DF"/>
    <w:p w14:paraId="5D723CBB" w14:textId="77B51FC8" w:rsidR="007344DF" w:rsidRDefault="007344DF" w:rsidP="007344DF">
      <w:pPr>
        <w:rPr>
          <w:rFonts w:ascii="Garamond" w:hAnsi="Garamond" w:cs="Times New Roman"/>
        </w:rPr>
      </w:pPr>
    </w:p>
    <w:p w14:paraId="0D9DDBAC" w14:textId="7A454CC8" w:rsidR="0083463E" w:rsidRDefault="0083463E" w:rsidP="007344DF">
      <w:pPr>
        <w:rPr>
          <w:rFonts w:ascii="Garamond" w:hAnsi="Garamond" w:cs="Times New Roman"/>
        </w:rPr>
      </w:pPr>
    </w:p>
    <w:p w14:paraId="4EADEA47" w14:textId="738C571C" w:rsidR="0020722A" w:rsidRDefault="0020722A" w:rsidP="007344DF">
      <w:pPr>
        <w:rPr>
          <w:rFonts w:ascii="Garamond" w:hAnsi="Garamond" w:cs="Times New Roman"/>
        </w:rPr>
      </w:pPr>
    </w:p>
    <w:p w14:paraId="253E9BAB" w14:textId="5703FF2B" w:rsidR="000E6A53" w:rsidRDefault="000E6A53" w:rsidP="007344DF">
      <w:pPr>
        <w:rPr>
          <w:rFonts w:ascii="Garamond" w:hAnsi="Garamond" w:cs="Times New Roman"/>
        </w:rPr>
      </w:pPr>
    </w:p>
    <w:p w14:paraId="41ACF992" w14:textId="27841B2C" w:rsidR="00B41CBB" w:rsidRDefault="00B41CBB" w:rsidP="007344DF">
      <w:pPr>
        <w:rPr>
          <w:rFonts w:ascii="Garamond" w:hAnsi="Garamond" w:cs="Times New Roman"/>
        </w:rPr>
      </w:pPr>
    </w:p>
    <w:p w14:paraId="12132601" w14:textId="3CE141A5" w:rsidR="00B41CBB" w:rsidRDefault="00B41CBB" w:rsidP="007344DF">
      <w:pPr>
        <w:rPr>
          <w:rFonts w:ascii="Garamond" w:hAnsi="Garamond" w:cs="Times New Roman"/>
        </w:rPr>
      </w:pPr>
      <w:r>
        <w:rPr>
          <w:rFonts w:ascii="Garamond" w:hAnsi="Garamond" w:cs="Times New Roman"/>
          <w:noProof/>
        </w:rPr>
        <w:drawing>
          <wp:inline distT="0" distB="0" distL="0" distR="0" wp14:anchorId="46FCF56D" wp14:editId="11531F37">
            <wp:extent cx="5646420" cy="45491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46420" cy="4549140"/>
                    </a:xfrm>
                    <a:prstGeom prst="rect">
                      <a:avLst/>
                    </a:prstGeom>
                    <a:noFill/>
                  </pic:spPr>
                </pic:pic>
              </a:graphicData>
            </a:graphic>
          </wp:inline>
        </w:drawing>
      </w:r>
    </w:p>
    <w:p w14:paraId="6EC7A945" w14:textId="6865400D" w:rsidR="00A9494E" w:rsidRDefault="00A9494E" w:rsidP="007344DF">
      <w:pPr>
        <w:rPr>
          <w:rFonts w:ascii="Garamond" w:hAnsi="Garamond" w:cs="Times New Roman"/>
        </w:rPr>
      </w:pPr>
    </w:p>
    <w:p w14:paraId="4499ECE4" w14:textId="77777777" w:rsidR="007344DF" w:rsidRDefault="007344DF" w:rsidP="007344DF">
      <w:pPr>
        <w:pStyle w:val="Heading2"/>
        <w:rPr>
          <w:rFonts w:eastAsia="Times New Roman"/>
        </w:rPr>
      </w:pPr>
      <w:bookmarkStart w:id="31" w:name="_Toc482011526"/>
      <w:bookmarkStart w:id="32" w:name="_Toc2243507"/>
      <w:r>
        <w:rPr>
          <w:rFonts w:eastAsia="Times New Roman"/>
        </w:rPr>
        <w:t>E2. PROJECT SCENARIO</w:t>
      </w:r>
      <w:bookmarkEnd w:id="31"/>
      <w:bookmarkEnd w:id="32"/>
    </w:p>
    <w:p w14:paraId="6021B7F9" w14:textId="77777777" w:rsidR="007344DF" w:rsidRDefault="007344DF" w:rsidP="007344DF">
      <w:pPr>
        <w:rPr>
          <w:iCs/>
        </w:rPr>
      </w:pPr>
    </w:p>
    <w:p w14:paraId="089BC0CC" w14:textId="77777777" w:rsidR="007344DF" w:rsidRPr="009B04E4" w:rsidRDefault="007344DF" w:rsidP="007344DF">
      <w:pPr>
        <w:rPr>
          <w:iCs/>
        </w:rPr>
      </w:pPr>
      <w:r w:rsidRPr="009B04E4">
        <w:t>Ex ante projection of the project scenario is derived and documented in Section E6 below.</w:t>
      </w:r>
    </w:p>
    <w:p w14:paraId="5A4016D1" w14:textId="77777777" w:rsidR="007344DF" w:rsidRDefault="007344DF" w:rsidP="007344DF">
      <w:pPr>
        <w:pStyle w:val="Heading2"/>
        <w:rPr>
          <w:rFonts w:eastAsia="Times New Roman"/>
        </w:rPr>
      </w:pPr>
      <w:bookmarkStart w:id="33" w:name="_Toc482011527"/>
      <w:bookmarkStart w:id="34" w:name="_Toc2243508"/>
      <w:r>
        <w:rPr>
          <w:rFonts w:eastAsia="Times New Roman"/>
        </w:rPr>
        <w:t>E3. LEAKAGE</w:t>
      </w:r>
      <w:bookmarkEnd w:id="33"/>
      <w:bookmarkEnd w:id="34"/>
    </w:p>
    <w:p w14:paraId="2265D080" w14:textId="42E2EC00" w:rsidR="007344DF" w:rsidRDefault="007344DF" w:rsidP="007344DF">
      <w:pPr>
        <w:autoSpaceDE w:val="0"/>
        <w:autoSpaceDN w:val="0"/>
        <w:adjustRightInd w:val="0"/>
      </w:pPr>
      <w:r w:rsidRPr="00A73888">
        <w:t xml:space="preserve">Quantification of leakage is limited to market leakage, as no activity-shifting leakage is allowed by the methodology beyond </w:t>
      </w:r>
      <w:r w:rsidRPr="00A73888">
        <w:rPr>
          <w:i/>
        </w:rPr>
        <w:t>de minimis</w:t>
      </w:r>
      <w:r w:rsidRPr="00A73888">
        <w:t xml:space="preserve"> levels. </w:t>
      </w:r>
      <w:r w:rsidR="00542890">
        <w:t>Activity-shifting leakage is precluded through FSC certification.</w:t>
      </w:r>
    </w:p>
    <w:p w14:paraId="189481CC" w14:textId="4A13109D" w:rsidR="003A47D3" w:rsidRPr="003A47D3" w:rsidRDefault="003A47D3" w:rsidP="003A47D3">
      <w:pPr>
        <w:autoSpaceDE w:val="0"/>
        <w:autoSpaceDN w:val="0"/>
        <w:adjustRightInd w:val="0"/>
      </w:pPr>
      <w:r>
        <w:t xml:space="preserve">Note that the </w:t>
      </w:r>
      <w:r w:rsidRPr="003A47D3">
        <w:t xml:space="preserve">University of TN Institute of Agriculture (UTIA) will not be getting “entity-wide” FSC certification, rather certification of the project area. The project area, referred to as the Forest Resources AgResearch and Education Center (FRREC), is one of 10 landholdings in Tennessee and the forest is managed by the FRREC foresters. </w:t>
      </w:r>
    </w:p>
    <w:p w14:paraId="5A22B16F" w14:textId="3AB48EE6" w:rsidR="003A47D3" w:rsidRPr="003A47D3" w:rsidRDefault="003A47D3" w:rsidP="003A47D3">
      <w:pPr>
        <w:autoSpaceDE w:val="0"/>
        <w:autoSpaceDN w:val="0"/>
        <w:adjustRightInd w:val="0"/>
      </w:pPr>
      <w:r w:rsidRPr="003A47D3">
        <w:t xml:space="preserve">Utilization of attestation by the Dean of the University of TN Institute of Agriculture along with, listing of all UTIA landholdings demonstrates that all UTIA landholdings meet activity-shifting leakage requirements set forth in </w:t>
      </w:r>
      <w:r>
        <w:t xml:space="preserve">methodology </w:t>
      </w:r>
      <w:r w:rsidRPr="003A47D3">
        <w:t xml:space="preserve">section D6.  In addition, the FRREC has timber revenue goals to meet budget requirements. The other landholdings are managed for agricultural research and education purposes and harvesting may occur when the forest dictates the need or when needed for agricultural program purposes. The total forested acres of </w:t>
      </w:r>
      <w:r>
        <w:t xml:space="preserve">the other </w:t>
      </w:r>
      <w:r w:rsidRPr="003A47D3">
        <w:t>9 properties (not included in the project) totals approximately 1,800 acres. The FRREC property has achieved FSC certification under The Nature Conservancy’s group FSC certificate.</w:t>
      </w:r>
    </w:p>
    <w:p w14:paraId="4F194143" w14:textId="77AB5564" w:rsidR="003A47D3" w:rsidRDefault="003A47D3" w:rsidP="007344DF">
      <w:pPr>
        <w:autoSpaceDE w:val="0"/>
        <w:autoSpaceDN w:val="0"/>
        <w:adjustRightInd w:val="0"/>
      </w:pPr>
      <w:r>
        <w:t>The above constitutes a deviation that was accepted by ACR on May 5 2021, documented in “</w:t>
      </w:r>
      <w:r w:rsidRPr="003A47D3">
        <w:t>20210428acr-methodology-deviation-request-v2-0 UTIATNCWorking WoodlandsD6 leakage RP1 Accepted</w:t>
      </w:r>
      <w:r>
        <w:t>.doc”</w:t>
      </w:r>
    </w:p>
    <w:p w14:paraId="082B1BDA" w14:textId="77777777" w:rsidR="003A47D3" w:rsidRPr="00A73888" w:rsidRDefault="003A47D3" w:rsidP="007344DF">
      <w:pPr>
        <w:autoSpaceDE w:val="0"/>
        <w:autoSpaceDN w:val="0"/>
        <w:adjustRightInd w:val="0"/>
      </w:pPr>
    </w:p>
    <w:p w14:paraId="1319B708" w14:textId="034D6963" w:rsidR="007344DF" w:rsidRPr="00A73888" w:rsidRDefault="007344DF" w:rsidP="007344DF">
      <w:r w:rsidRPr="00A73888">
        <w:t>Market leakage was determined by quantifying the merchantable carbon removed in both the baseline and with-project case</w:t>
      </w:r>
      <w:r>
        <w:t>s</w:t>
      </w:r>
      <w:r w:rsidRPr="00A73888">
        <w:t xml:space="preserve">. </w:t>
      </w:r>
      <w:r>
        <w:t xml:space="preserve">Carbon in longterm storage in in-use wood products and landfills, calculated above, was used to assess relative amounts of “total wood products produced” in the two scenarios. </w:t>
      </w:r>
      <w:r w:rsidRPr="00A73888">
        <w:t>The decrease in wood production relative to the baseline was then calculated and the applicable market leakage discount factor was determined.</w:t>
      </w:r>
    </w:p>
    <w:p w14:paraId="5C8F655A" w14:textId="77777777" w:rsidR="007344DF" w:rsidRPr="00A73888" w:rsidRDefault="007344DF" w:rsidP="007344DF"/>
    <w:p w14:paraId="0430176C" w14:textId="77777777" w:rsidR="007344DF" w:rsidRPr="00986F50" w:rsidRDefault="007344DF" w:rsidP="007344DF">
      <w:r w:rsidRPr="00986F50">
        <w:t xml:space="preserve">Calculation </w:t>
      </w:r>
      <w:r>
        <w:t>of leakage factors for baseline:</w:t>
      </w:r>
    </w:p>
    <w:tbl>
      <w:tblPr>
        <w:tblW w:w="9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900"/>
        <w:gridCol w:w="1900"/>
        <w:gridCol w:w="1900"/>
        <w:gridCol w:w="1900"/>
      </w:tblGrid>
      <w:tr w:rsidR="007344DF" w:rsidRPr="00E21E86" w14:paraId="1DFF355F" w14:textId="77777777" w:rsidTr="00A16F26">
        <w:trPr>
          <w:trHeight w:val="1515"/>
        </w:trPr>
        <w:tc>
          <w:tcPr>
            <w:tcW w:w="1900" w:type="dxa"/>
            <w:shd w:val="clear" w:color="auto" w:fill="auto"/>
            <w:vAlign w:val="center"/>
            <w:hideMark/>
          </w:tcPr>
          <w:p w14:paraId="43FF4906" w14:textId="77777777" w:rsidR="007344DF" w:rsidRPr="00AB0890" w:rsidRDefault="007344DF" w:rsidP="00A16F26">
            <w:pPr>
              <w:jc w:val="center"/>
              <w:rPr>
                <w:rFonts w:eastAsia="Times New Roman"/>
                <w:b/>
                <w:color w:val="000000"/>
              </w:rPr>
            </w:pPr>
            <w:r w:rsidRPr="00AB0890">
              <w:rPr>
                <w:rFonts w:eastAsia="Times New Roman"/>
                <w:b/>
                <w:color w:val="000000"/>
              </w:rPr>
              <w:t>Period</w:t>
            </w:r>
          </w:p>
        </w:tc>
        <w:tc>
          <w:tcPr>
            <w:tcW w:w="1900" w:type="dxa"/>
            <w:shd w:val="clear" w:color="auto" w:fill="auto"/>
            <w:vAlign w:val="bottom"/>
            <w:hideMark/>
          </w:tcPr>
          <w:p w14:paraId="33A14D43" w14:textId="77777777" w:rsidR="007344DF" w:rsidRPr="00A73888" w:rsidRDefault="007344DF" w:rsidP="00A16F26">
            <w:pPr>
              <w:rPr>
                <w:b/>
                <w:color w:val="000000"/>
              </w:rPr>
            </w:pPr>
            <w:r>
              <w:rPr>
                <w:b/>
                <w:color w:val="000000"/>
              </w:rPr>
              <w:t xml:space="preserve">Total </w:t>
            </w:r>
            <w:r w:rsidRPr="00A73888">
              <w:rPr>
                <w:b/>
                <w:color w:val="000000"/>
              </w:rPr>
              <w:t>HWP stored for 100 yrs in the Baseline (tCO2e)</w:t>
            </w:r>
          </w:p>
        </w:tc>
        <w:tc>
          <w:tcPr>
            <w:tcW w:w="1900" w:type="dxa"/>
            <w:shd w:val="clear" w:color="auto" w:fill="auto"/>
            <w:vAlign w:val="bottom"/>
            <w:hideMark/>
          </w:tcPr>
          <w:p w14:paraId="4E1DD443" w14:textId="77777777" w:rsidR="007344DF" w:rsidRPr="00A73888" w:rsidRDefault="007344DF" w:rsidP="00A16F26">
            <w:pPr>
              <w:rPr>
                <w:b/>
                <w:color w:val="000000"/>
              </w:rPr>
            </w:pPr>
            <w:r>
              <w:rPr>
                <w:b/>
                <w:color w:val="000000"/>
              </w:rPr>
              <w:t xml:space="preserve">Total </w:t>
            </w:r>
            <w:r w:rsidRPr="00A73888">
              <w:rPr>
                <w:b/>
                <w:color w:val="000000"/>
              </w:rPr>
              <w:t>HWP stored for 100 yrs in the Project Scenario (tCO2e)</w:t>
            </w:r>
          </w:p>
        </w:tc>
        <w:tc>
          <w:tcPr>
            <w:tcW w:w="1900" w:type="dxa"/>
            <w:shd w:val="clear" w:color="auto" w:fill="auto"/>
            <w:vAlign w:val="center"/>
            <w:hideMark/>
          </w:tcPr>
          <w:p w14:paraId="6964EEC5" w14:textId="77777777" w:rsidR="007344DF" w:rsidRPr="00A73888" w:rsidRDefault="007344DF" w:rsidP="00A16F26">
            <w:pPr>
              <w:jc w:val="center"/>
              <w:rPr>
                <w:rFonts w:eastAsia="Times New Roman"/>
                <w:b/>
                <w:color w:val="000000"/>
              </w:rPr>
            </w:pPr>
            <w:r w:rsidRPr="00A73888">
              <w:rPr>
                <w:rFonts w:eastAsia="Times New Roman"/>
                <w:b/>
                <w:color w:val="000000"/>
              </w:rPr>
              <w:t>Decrease in Wood Products as Percentage of Baseline Stocks</w:t>
            </w:r>
          </w:p>
        </w:tc>
        <w:tc>
          <w:tcPr>
            <w:tcW w:w="1900" w:type="dxa"/>
            <w:shd w:val="clear" w:color="auto" w:fill="auto"/>
            <w:vAlign w:val="center"/>
            <w:hideMark/>
          </w:tcPr>
          <w:p w14:paraId="6028F300" w14:textId="77777777" w:rsidR="007344DF" w:rsidRPr="00AB0890" w:rsidRDefault="007344DF" w:rsidP="00A16F26">
            <w:pPr>
              <w:jc w:val="center"/>
              <w:rPr>
                <w:rFonts w:eastAsia="Times New Roman"/>
                <w:b/>
                <w:color w:val="000000"/>
              </w:rPr>
            </w:pPr>
            <w:r w:rsidRPr="00AB0890">
              <w:rPr>
                <w:rFonts w:eastAsia="Times New Roman"/>
                <w:b/>
                <w:color w:val="000000"/>
              </w:rPr>
              <w:t>Applicable Leakage Factor</w:t>
            </w:r>
          </w:p>
        </w:tc>
      </w:tr>
      <w:tr w:rsidR="0082269E" w:rsidRPr="00E21E86" w14:paraId="60E16B58" w14:textId="77777777" w:rsidTr="00426FD9">
        <w:trPr>
          <w:trHeight w:val="315"/>
        </w:trPr>
        <w:tc>
          <w:tcPr>
            <w:tcW w:w="1900" w:type="dxa"/>
            <w:shd w:val="clear" w:color="auto" w:fill="auto"/>
            <w:noWrap/>
            <w:vAlign w:val="bottom"/>
            <w:hideMark/>
          </w:tcPr>
          <w:p w14:paraId="62AF4657" w14:textId="7C1E079A" w:rsidR="0082269E" w:rsidRPr="00E21E86" w:rsidRDefault="0082269E" w:rsidP="0082269E">
            <w:pPr>
              <w:jc w:val="center"/>
              <w:rPr>
                <w:rFonts w:eastAsia="Times New Roman"/>
                <w:color w:val="000000"/>
              </w:rPr>
            </w:pPr>
            <w:r>
              <w:rPr>
                <w:color w:val="000000"/>
              </w:rPr>
              <w:t>2020-2039</w:t>
            </w:r>
          </w:p>
        </w:tc>
        <w:tc>
          <w:tcPr>
            <w:tcW w:w="1900" w:type="dxa"/>
            <w:shd w:val="clear" w:color="auto" w:fill="auto"/>
            <w:noWrap/>
            <w:vAlign w:val="bottom"/>
          </w:tcPr>
          <w:p w14:paraId="07A50D31" w14:textId="77777777" w:rsidR="002528C7" w:rsidRDefault="002528C7" w:rsidP="002528C7">
            <w:pPr>
              <w:jc w:val="right"/>
              <w:rPr>
                <w:rFonts w:ascii="Calibri" w:hAnsi="Calibri" w:cs="Calibri"/>
                <w:color w:val="000000"/>
              </w:rPr>
            </w:pPr>
            <w:r>
              <w:rPr>
                <w:rFonts w:ascii="Calibri" w:hAnsi="Calibri" w:cs="Calibri"/>
                <w:color w:val="000000"/>
              </w:rPr>
              <w:t>298,668</w:t>
            </w:r>
          </w:p>
          <w:p w14:paraId="792A66B9" w14:textId="4F60E64B" w:rsidR="0082269E" w:rsidRPr="002D4111" w:rsidRDefault="0082269E" w:rsidP="0082269E">
            <w:pPr>
              <w:jc w:val="right"/>
              <w:rPr>
                <w:rFonts w:ascii="Calibri" w:hAnsi="Calibri" w:cs="Calibri"/>
                <w:color w:val="000000"/>
              </w:rPr>
            </w:pPr>
          </w:p>
        </w:tc>
        <w:tc>
          <w:tcPr>
            <w:tcW w:w="1900" w:type="dxa"/>
            <w:shd w:val="clear" w:color="auto" w:fill="auto"/>
            <w:noWrap/>
            <w:vAlign w:val="bottom"/>
          </w:tcPr>
          <w:p w14:paraId="6AB3AF5B" w14:textId="5C75E3D1" w:rsidR="0082269E" w:rsidRPr="00270BF1" w:rsidRDefault="0082269E" w:rsidP="0082269E">
            <w:pPr>
              <w:jc w:val="right"/>
              <w:rPr>
                <w:color w:val="000000"/>
              </w:rPr>
            </w:pPr>
            <w:r>
              <w:rPr>
                <w:rFonts w:ascii="Calibri" w:hAnsi="Calibri" w:cs="Calibri"/>
                <w:color w:val="000000"/>
              </w:rPr>
              <w:t>50,728</w:t>
            </w:r>
          </w:p>
        </w:tc>
        <w:tc>
          <w:tcPr>
            <w:tcW w:w="1900" w:type="dxa"/>
            <w:shd w:val="clear" w:color="auto" w:fill="auto"/>
            <w:noWrap/>
            <w:vAlign w:val="bottom"/>
          </w:tcPr>
          <w:p w14:paraId="0A5B227C" w14:textId="3C17F141" w:rsidR="0082269E" w:rsidRPr="00270BF1" w:rsidRDefault="0082269E" w:rsidP="0082269E">
            <w:pPr>
              <w:jc w:val="center"/>
              <w:rPr>
                <w:rFonts w:eastAsia="Times New Roman"/>
                <w:color w:val="000000"/>
              </w:rPr>
            </w:pPr>
            <w:r>
              <w:rPr>
                <w:rFonts w:eastAsia="Times New Roman"/>
                <w:color w:val="000000"/>
              </w:rPr>
              <w:t>83%</w:t>
            </w:r>
          </w:p>
        </w:tc>
        <w:tc>
          <w:tcPr>
            <w:tcW w:w="1900" w:type="dxa"/>
            <w:shd w:val="clear" w:color="auto" w:fill="auto"/>
            <w:noWrap/>
            <w:hideMark/>
          </w:tcPr>
          <w:p w14:paraId="65469C27" w14:textId="77777777" w:rsidR="0082269E" w:rsidRPr="00E21E86" w:rsidRDefault="0082269E" w:rsidP="0082269E">
            <w:pPr>
              <w:jc w:val="center"/>
              <w:rPr>
                <w:rFonts w:eastAsia="Times New Roman"/>
                <w:color w:val="000000"/>
              </w:rPr>
            </w:pPr>
            <w:r w:rsidRPr="00E21E86">
              <w:rPr>
                <w:rFonts w:eastAsia="Times New Roman"/>
                <w:color w:val="000000"/>
              </w:rPr>
              <w:t>0.4</w:t>
            </w:r>
          </w:p>
        </w:tc>
      </w:tr>
    </w:tbl>
    <w:p w14:paraId="42DFED61" w14:textId="77777777" w:rsidR="007344DF" w:rsidRDefault="007344DF" w:rsidP="007344DF"/>
    <w:p w14:paraId="4D7FFA34" w14:textId="77777777" w:rsidR="007344DF" w:rsidRDefault="007344DF" w:rsidP="007344DF">
      <w:pPr>
        <w:pStyle w:val="Heading2"/>
        <w:rPr>
          <w:rFonts w:eastAsia="Times New Roman"/>
        </w:rPr>
      </w:pPr>
      <w:bookmarkStart w:id="35" w:name="_Toc482011528"/>
      <w:bookmarkStart w:id="36" w:name="_Toc2243509"/>
      <w:r>
        <w:rPr>
          <w:rFonts w:eastAsia="Times New Roman"/>
        </w:rPr>
        <w:t>E4. UNCERTAINTY</w:t>
      </w:r>
      <w:bookmarkEnd w:id="35"/>
      <w:bookmarkEnd w:id="36"/>
    </w:p>
    <w:p w14:paraId="41AE71EF" w14:textId="77777777" w:rsidR="007344DF" w:rsidRDefault="007344DF" w:rsidP="007344DF">
      <w:pPr>
        <w:rPr>
          <w:i/>
          <w:iCs/>
        </w:rPr>
      </w:pPr>
    </w:p>
    <w:p w14:paraId="5C55BDE2" w14:textId="77777777" w:rsidR="007344DF" w:rsidRPr="008D3751" w:rsidRDefault="007344DF" w:rsidP="007344DF">
      <w:r w:rsidRPr="008D3751">
        <w:t>Per the methodology, “The 90% statistical confidence interval (CI) of sampling can be no more than ±10% of the mean estimated amount of the combined carbon stock across all strata. If the Project Proponent cannot meet the targeted ±10% of the mean at 90% confidence, then the reportable amount shall be the lower bound of the 90% confidence interval.”</w:t>
      </w:r>
    </w:p>
    <w:p w14:paraId="38649847" w14:textId="31B1BEF0" w:rsidR="007344DF" w:rsidRDefault="007344DF" w:rsidP="007344DF">
      <w:r w:rsidRPr="008D3751">
        <w:t xml:space="preserve">Parameter </w:t>
      </w:r>
      <w:r w:rsidRPr="008D3751">
        <w:rPr>
          <w:i/>
        </w:rPr>
        <w:t>e</w:t>
      </w:r>
      <w:r w:rsidRPr="008D3751">
        <w:rPr>
          <w:i/>
          <w:vertAlign w:val="subscript"/>
        </w:rPr>
        <w:t>BSL,TREE</w:t>
      </w:r>
      <w:r w:rsidRPr="008D3751">
        <w:t xml:space="preserve"> </w:t>
      </w:r>
      <w:r w:rsidR="004B6A85">
        <w:t>(6.</w:t>
      </w:r>
      <w:r w:rsidR="00C575EF">
        <w:t>6</w:t>
      </w:r>
      <w:r w:rsidRPr="008D3751">
        <w:t xml:space="preserve">%) is </w:t>
      </w:r>
      <w:r>
        <w:t xml:space="preserve">derived below from the </w:t>
      </w:r>
      <w:r w:rsidR="00C86940">
        <w:t xml:space="preserve">2020 </w:t>
      </w:r>
      <w:r w:rsidRPr="008D3751">
        <w:t xml:space="preserve">inventory data (from which </w:t>
      </w:r>
      <w:r w:rsidR="00C86940">
        <w:t xml:space="preserve">November 26 2019 </w:t>
      </w:r>
      <w:r w:rsidRPr="008D3751">
        <w:t>stocks were estimated</w:t>
      </w:r>
      <w:r w:rsidR="00016F2E">
        <w:t>)</w:t>
      </w:r>
      <w:r w:rsidR="00C86940">
        <w:t>.</w:t>
      </w:r>
    </w:p>
    <w:p w14:paraId="5F9A7A1D" w14:textId="14C089EE" w:rsidR="007344DF" w:rsidRDefault="007344DF" w:rsidP="007344DF">
      <w:pPr>
        <w:rPr>
          <w:b/>
        </w:rPr>
      </w:pPr>
      <w:r w:rsidRPr="006621FB">
        <w:rPr>
          <w:b/>
        </w:rPr>
        <w:t xml:space="preserve">Table </w:t>
      </w:r>
      <w:r w:rsidR="00B9370D">
        <w:rPr>
          <w:b/>
        </w:rPr>
        <w:t>E9</w:t>
      </w:r>
      <w:r w:rsidRPr="006621FB">
        <w:rPr>
          <w:b/>
        </w:rPr>
        <w:t xml:space="preserve">. Live tree statistics from </w:t>
      </w:r>
      <w:r w:rsidR="00C86940">
        <w:rPr>
          <w:b/>
        </w:rPr>
        <w:t xml:space="preserve">2020 </w:t>
      </w:r>
      <w:r w:rsidRPr="006621FB">
        <w:rPr>
          <w:b/>
        </w:rPr>
        <w:t>inventory</w:t>
      </w:r>
      <w:r w:rsidR="00C86940">
        <w:rPr>
          <w:b/>
        </w:rPr>
        <w:t xml:space="preserve"> (trees and saplings combined).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
        <w:gridCol w:w="2257"/>
        <w:gridCol w:w="1704"/>
        <w:gridCol w:w="1472"/>
        <w:gridCol w:w="1472"/>
        <w:gridCol w:w="1473"/>
      </w:tblGrid>
      <w:tr w:rsidR="00C86940" w:rsidRPr="00C86940" w14:paraId="047E1A39" w14:textId="77777777" w:rsidTr="0069396C">
        <w:trPr>
          <w:trHeight w:val="290"/>
        </w:trPr>
        <w:tc>
          <w:tcPr>
            <w:tcW w:w="496" w:type="pct"/>
          </w:tcPr>
          <w:p w14:paraId="50EBF56D" w14:textId="7358A1AB" w:rsidR="00C86940" w:rsidRPr="00C86940" w:rsidRDefault="00C86940">
            <w:pPr>
              <w:autoSpaceDE w:val="0"/>
              <w:autoSpaceDN w:val="0"/>
              <w:adjustRightInd w:val="0"/>
              <w:spacing w:after="0" w:line="240" w:lineRule="auto"/>
              <w:rPr>
                <w:rFonts w:cstheme="minorHAnsi"/>
                <w:b/>
                <w:color w:val="000000"/>
              </w:rPr>
            </w:pPr>
            <w:r w:rsidRPr="00C86940">
              <w:rPr>
                <w:rFonts w:cstheme="minorHAnsi"/>
                <w:b/>
                <w:color w:val="000000"/>
              </w:rPr>
              <w:t>stratum</w:t>
            </w:r>
          </w:p>
        </w:tc>
        <w:tc>
          <w:tcPr>
            <w:tcW w:w="1212" w:type="pct"/>
          </w:tcPr>
          <w:p w14:paraId="073345A5" w14:textId="77777777" w:rsidR="00C86940" w:rsidRPr="00C86940" w:rsidRDefault="00C86940">
            <w:pPr>
              <w:autoSpaceDE w:val="0"/>
              <w:autoSpaceDN w:val="0"/>
              <w:adjustRightInd w:val="0"/>
              <w:spacing w:after="0" w:line="240" w:lineRule="auto"/>
              <w:rPr>
                <w:rFonts w:cstheme="minorHAnsi"/>
                <w:b/>
                <w:color w:val="000000"/>
              </w:rPr>
            </w:pPr>
            <w:r w:rsidRPr="00C86940">
              <w:rPr>
                <w:rFonts w:cstheme="minorHAnsi"/>
                <w:b/>
                <w:color w:val="000000"/>
              </w:rPr>
              <w:t>CN</w:t>
            </w:r>
          </w:p>
        </w:tc>
        <w:tc>
          <w:tcPr>
            <w:tcW w:w="916" w:type="pct"/>
          </w:tcPr>
          <w:p w14:paraId="550385C2" w14:textId="77777777" w:rsidR="00C86940" w:rsidRPr="00C86940" w:rsidRDefault="00C86940">
            <w:pPr>
              <w:autoSpaceDE w:val="0"/>
              <w:autoSpaceDN w:val="0"/>
              <w:adjustRightInd w:val="0"/>
              <w:spacing w:after="0" w:line="240" w:lineRule="auto"/>
              <w:rPr>
                <w:rFonts w:cstheme="minorHAnsi"/>
                <w:b/>
                <w:color w:val="000000"/>
              </w:rPr>
            </w:pPr>
            <w:r w:rsidRPr="00C86940">
              <w:rPr>
                <w:rFonts w:cstheme="minorHAnsi"/>
                <w:b/>
                <w:color w:val="000000"/>
              </w:rPr>
              <w:t>CS</w:t>
            </w:r>
          </w:p>
        </w:tc>
        <w:tc>
          <w:tcPr>
            <w:tcW w:w="792" w:type="pct"/>
          </w:tcPr>
          <w:p w14:paraId="032F53DF" w14:textId="77777777" w:rsidR="00C86940" w:rsidRPr="00C86940" w:rsidRDefault="00C86940">
            <w:pPr>
              <w:autoSpaceDE w:val="0"/>
              <w:autoSpaceDN w:val="0"/>
              <w:adjustRightInd w:val="0"/>
              <w:spacing w:after="0" w:line="240" w:lineRule="auto"/>
              <w:rPr>
                <w:rFonts w:cstheme="minorHAnsi"/>
                <w:b/>
                <w:color w:val="000000"/>
              </w:rPr>
            </w:pPr>
            <w:r w:rsidRPr="00C86940">
              <w:rPr>
                <w:rFonts w:cstheme="minorHAnsi"/>
                <w:b/>
                <w:color w:val="000000"/>
              </w:rPr>
              <w:t>HR_HW</w:t>
            </w:r>
          </w:p>
        </w:tc>
        <w:tc>
          <w:tcPr>
            <w:tcW w:w="792" w:type="pct"/>
          </w:tcPr>
          <w:p w14:paraId="49B1572C" w14:textId="77777777" w:rsidR="00C86940" w:rsidRPr="00C86940" w:rsidRDefault="00C86940">
            <w:pPr>
              <w:autoSpaceDE w:val="0"/>
              <w:autoSpaceDN w:val="0"/>
              <w:adjustRightInd w:val="0"/>
              <w:spacing w:after="0" w:line="240" w:lineRule="auto"/>
              <w:rPr>
                <w:rFonts w:cstheme="minorHAnsi"/>
                <w:b/>
                <w:color w:val="000000"/>
              </w:rPr>
            </w:pPr>
            <w:r w:rsidRPr="00C86940">
              <w:rPr>
                <w:rFonts w:cstheme="minorHAnsi"/>
                <w:b/>
                <w:color w:val="000000"/>
              </w:rPr>
              <w:t>HR_PI</w:t>
            </w:r>
          </w:p>
        </w:tc>
        <w:tc>
          <w:tcPr>
            <w:tcW w:w="792" w:type="pct"/>
          </w:tcPr>
          <w:p w14:paraId="3369FF91" w14:textId="77777777" w:rsidR="00C86940" w:rsidRPr="00C86940" w:rsidRDefault="00C86940">
            <w:pPr>
              <w:autoSpaceDE w:val="0"/>
              <w:autoSpaceDN w:val="0"/>
              <w:adjustRightInd w:val="0"/>
              <w:spacing w:after="0" w:line="240" w:lineRule="auto"/>
              <w:rPr>
                <w:rFonts w:cstheme="minorHAnsi"/>
                <w:b/>
                <w:color w:val="000000"/>
              </w:rPr>
            </w:pPr>
            <w:r w:rsidRPr="00C86940">
              <w:rPr>
                <w:rFonts w:cstheme="minorHAnsi"/>
                <w:b/>
                <w:color w:val="000000"/>
              </w:rPr>
              <w:t>OR</w:t>
            </w:r>
          </w:p>
        </w:tc>
      </w:tr>
      <w:tr w:rsidR="0069396C" w:rsidRPr="00C86940" w14:paraId="5649DCD2" w14:textId="77777777" w:rsidTr="0069396C">
        <w:trPr>
          <w:trHeight w:val="290"/>
        </w:trPr>
        <w:tc>
          <w:tcPr>
            <w:tcW w:w="496" w:type="pct"/>
          </w:tcPr>
          <w:p w14:paraId="74C0A730" w14:textId="77777777" w:rsidR="0069396C" w:rsidRPr="00C86940" w:rsidRDefault="0069396C" w:rsidP="0069396C">
            <w:pPr>
              <w:autoSpaceDE w:val="0"/>
              <w:autoSpaceDN w:val="0"/>
              <w:adjustRightInd w:val="0"/>
              <w:spacing w:after="0" w:line="240" w:lineRule="auto"/>
              <w:jc w:val="right"/>
              <w:rPr>
                <w:rFonts w:cstheme="minorHAnsi"/>
                <w:color w:val="000000"/>
              </w:rPr>
            </w:pPr>
            <w:r w:rsidRPr="00C86940">
              <w:rPr>
                <w:rFonts w:cstheme="minorHAnsi"/>
                <w:color w:val="000000"/>
              </w:rPr>
              <w:t>mean tCO2/ac</w:t>
            </w:r>
          </w:p>
        </w:tc>
        <w:tc>
          <w:tcPr>
            <w:tcW w:w="1212" w:type="pct"/>
            <w:vAlign w:val="bottom"/>
          </w:tcPr>
          <w:p w14:paraId="1DDADC45" w14:textId="3B1F93A8" w:rsidR="0069396C" w:rsidRPr="00C86940" w:rsidRDefault="0069396C" w:rsidP="0069396C">
            <w:pPr>
              <w:autoSpaceDE w:val="0"/>
              <w:autoSpaceDN w:val="0"/>
              <w:adjustRightInd w:val="0"/>
              <w:spacing w:after="0" w:line="240" w:lineRule="auto"/>
              <w:jc w:val="center"/>
              <w:rPr>
                <w:rFonts w:cstheme="minorHAnsi"/>
                <w:color w:val="000000"/>
              </w:rPr>
            </w:pPr>
            <w:r>
              <w:rPr>
                <w:rFonts w:ascii="Calibri" w:hAnsi="Calibri" w:cs="Calibri"/>
                <w:color w:val="000000"/>
              </w:rPr>
              <w:t>221.6</w:t>
            </w:r>
          </w:p>
        </w:tc>
        <w:tc>
          <w:tcPr>
            <w:tcW w:w="916" w:type="pct"/>
            <w:vAlign w:val="bottom"/>
          </w:tcPr>
          <w:p w14:paraId="7040F20B" w14:textId="457055AB"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199.3</w:t>
            </w:r>
          </w:p>
        </w:tc>
        <w:tc>
          <w:tcPr>
            <w:tcW w:w="792" w:type="pct"/>
            <w:vAlign w:val="bottom"/>
          </w:tcPr>
          <w:p w14:paraId="06928BEE" w14:textId="01935F76"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151.1</w:t>
            </w:r>
          </w:p>
        </w:tc>
        <w:tc>
          <w:tcPr>
            <w:tcW w:w="792" w:type="pct"/>
            <w:vAlign w:val="bottom"/>
          </w:tcPr>
          <w:p w14:paraId="3F0EEDB9" w14:textId="0DC1D948"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164.0</w:t>
            </w:r>
          </w:p>
        </w:tc>
        <w:tc>
          <w:tcPr>
            <w:tcW w:w="792" w:type="pct"/>
            <w:vAlign w:val="bottom"/>
          </w:tcPr>
          <w:p w14:paraId="3AC297E4" w14:textId="60B96776"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153.8</w:t>
            </w:r>
          </w:p>
        </w:tc>
      </w:tr>
      <w:tr w:rsidR="0069396C" w:rsidRPr="00C86940" w14:paraId="54CA40C3" w14:textId="77777777" w:rsidTr="0069396C">
        <w:trPr>
          <w:trHeight w:val="290"/>
        </w:trPr>
        <w:tc>
          <w:tcPr>
            <w:tcW w:w="496" w:type="pct"/>
          </w:tcPr>
          <w:p w14:paraId="6AA939B4" w14:textId="77777777" w:rsidR="0069396C" w:rsidRPr="00C86940" w:rsidRDefault="0069396C" w:rsidP="0069396C">
            <w:pPr>
              <w:autoSpaceDE w:val="0"/>
              <w:autoSpaceDN w:val="0"/>
              <w:adjustRightInd w:val="0"/>
              <w:spacing w:after="0" w:line="240" w:lineRule="auto"/>
              <w:jc w:val="right"/>
              <w:rPr>
                <w:rFonts w:cstheme="minorHAnsi"/>
                <w:color w:val="000000"/>
              </w:rPr>
            </w:pPr>
            <w:r w:rsidRPr="00C86940">
              <w:rPr>
                <w:rFonts w:cstheme="minorHAnsi"/>
                <w:color w:val="000000"/>
              </w:rPr>
              <w:t>variance</w:t>
            </w:r>
          </w:p>
        </w:tc>
        <w:tc>
          <w:tcPr>
            <w:tcW w:w="1212" w:type="pct"/>
            <w:vAlign w:val="bottom"/>
          </w:tcPr>
          <w:p w14:paraId="7917B14A" w14:textId="2C6641C9" w:rsidR="0069396C" w:rsidRPr="00C86940" w:rsidRDefault="0069396C" w:rsidP="0069396C">
            <w:pPr>
              <w:autoSpaceDE w:val="0"/>
              <w:autoSpaceDN w:val="0"/>
              <w:adjustRightInd w:val="0"/>
              <w:spacing w:after="0" w:line="240" w:lineRule="auto"/>
              <w:jc w:val="center"/>
              <w:rPr>
                <w:rFonts w:cstheme="minorHAnsi"/>
                <w:color w:val="000000"/>
              </w:rPr>
            </w:pPr>
            <w:r>
              <w:rPr>
                <w:rFonts w:ascii="Calibri" w:hAnsi="Calibri" w:cs="Calibri"/>
                <w:color w:val="000000"/>
              </w:rPr>
              <w:t>8124.8</w:t>
            </w:r>
          </w:p>
        </w:tc>
        <w:tc>
          <w:tcPr>
            <w:tcW w:w="916" w:type="pct"/>
            <w:vAlign w:val="bottom"/>
          </w:tcPr>
          <w:p w14:paraId="1CF94A3D" w14:textId="69F68F6A"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10274.3</w:t>
            </w:r>
          </w:p>
        </w:tc>
        <w:tc>
          <w:tcPr>
            <w:tcW w:w="792" w:type="pct"/>
            <w:vAlign w:val="bottom"/>
          </w:tcPr>
          <w:p w14:paraId="22A1BE6F" w14:textId="32E8B5B8"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3755.1</w:t>
            </w:r>
          </w:p>
        </w:tc>
        <w:tc>
          <w:tcPr>
            <w:tcW w:w="792" w:type="pct"/>
            <w:vAlign w:val="bottom"/>
          </w:tcPr>
          <w:p w14:paraId="32136B9C" w14:textId="24901003"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1929.8</w:t>
            </w:r>
          </w:p>
        </w:tc>
        <w:tc>
          <w:tcPr>
            <w:tcW w:w="792" w:type="pct"/>
            <w:vAlign w:val="bottom"/>
          </w:tcPr>
          <w:p w14:paraId="2E141DDC" w14:textId="45C31776"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6096.8</w:t>
            </w:r>
          </w:p>
        </w:tc>
      </w:tr>
      <w:tr w:rsidR="0069396C" w:rsidRPr="00C86940" w14:paraId="2C0E16D3" w14:textId="77777777" w:rsidTr="0069396C">
        <w:trPr>
          <w:trHeight w:val="290"/>
        </w:trPr>
        <w:tc>
          <w:tcPr>
            <w:tcW w:w="496" w:type="pct"/>
          </w:tcPr>
          <w:p w14:paraId="6E234963" w14:textId="77777777" w:rsidR="0069396C" w:rsidRPr="00C86940" w:rsidRDefault="0069396C" w:rsidP="0069396C">
            <w:pPr>
              <w:autoSpaceDE w:val="0"/>
              <w:autoSpaceDN w:val="0"/>
              <w:adjustRightInd w:val="0"/>
              <w:spacing w:after="0" w:line="240" w:lineRule="auto"/>
              <w:jc w:val="right"/>
              <w:rPr>
                <w:rFonts w:cstheme="minorHAnsi"/>
                <w:color w:val="000000"/>
              </w:rPr>
            </w:pPr>
            <w:r w:rsidRPr="00C86940">
              <w:rPr>
                <w:rFonts w:cstheme="minorHAnsi"/>
                <w:color w:val="000000"/>
              </w:rPr>
              <w:t>stan dev</w:t>
            </w:r>
          </w:p>
        </w:tc>
        <w:tc>
          <w:tcPr>
            <w:tcW w:w="1212" w:type="pct"/>
            <w:vAlign w:val="bottom"/>
          </w:tcPr>
          <w:p w14:paraId="5AC33EEB" w14:textId="71DFC7B8" w:rsidR="0069396C" w:rsidRPr="00C86940" w:rsidRDefault="0069396C" w:rsidP="0069396C">
            <w:pPr>
              <w:autoSpaceDE w:val="0"/>
              <w:autoSpaceDN w:val="0"/>
              <w:adjustRightInd w:val="0"/>
              <w:spacing w:after="0" w:line="240" w:lineRule="auto"/>
              <w:jc w:val="center"/>
              <w:rPr>
                <w:rFonts w:cstheme="minorHAnsi"/>
                <w:color w:val="000000"/>
              </w:rPr>
            </w:pPr>
            <w:r>
              <w:rPr>
                <w:rFonts w:ascii="Calibri" w:hAnsi="Calibri" w:cs="Calibri"/>
                <w:color w:val="000000"/>
              </w:rPr>
              <w:t>90.1</w:t>
            </w:r>
          </w:p>
        </w:tc>
        <w:tc>
          <w:tcPr>
            <w:tcW w:w="916" w:type="pct"/>
            <w:vAlign w:val="bottom"/>
          </w:tcPr>
          <w:p w14:paraId="0F51A334" w14:textId="30FDDD73"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101.4</w:t>
            </w:r>
          </w:p>
        </w:tc>
        <w:tc>
          <w:tcPr>
            <w:tcW w:w="792" w:type="pct"/>
            <w:vAlign w:val="bottom"/>
          </w:tcPr>
          <w:p w14:paraId="49EEAF99" w14:textId="16254525"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61.3</w:t>
            </w:r>
          </w:p>
        </w:tc>
        <w:tc>
          <w:tcPr>
            <w:tcW w:w="792" w:type="pct"/>
            <w:vAlign w:val="bottom"/>
          </w:tcPr>
          <w:p w14:paraId="64D352C7" w14:textId="2EDA510B"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43.9</w:t>
            </w:r>
          </w:p>
        </w:tc>
        <w:tc>
          <w:tcPr>
            <w:tcW w:w="792" w:type="pct"/>
            <w:vAlign w:val="bottom"/>
          </w:tcPr>
          <w:p w14:paraId="1A1B801A" w14:textId="0863DA1B"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78.1</w:t>
            </w:r>
          </w:p>
        </w:tc>
      </w:tr>
      <w:tr w:rsidR="0069396C" w:rsidRPr="00C86940" w14:paraId="4B588CF5" w14:textId="77777777" w:rsidTr="0069396C">
        <w:trPr>
          <w:trHeight w:val="290"/>
        </w:trPr>
        <w:tc>
          <w:tcPr>
            <w:tcW w:w="496" w:type="pct"/>
          </w:tcPr>
          <w:p w14:paraId="338E6B07" w14:textId="77777777" w:rsidR="0069396C" w:rsidRPr="00C86940" w:rsidRDefault="0069396C" w:rsidP="0069396C">
            <w:pPr>
              <w:autoSpaceDE w:val="0"/>
              <w:autoSpaceDN w:val="0"/>
              <w:adjustRightInd w:val="0"/>
              <w:spacing w:after="0" w:line="240" w:lineRule="auto"/>
              <w:jc w:val="right"/>
              <w:rPr>
                <w:rFonts w:cstheme="minorHAnsi"/>
                <w:color w:val="000000"/>
              </w:rPr>
            </w:pPr>
            <w:r w:rsidRPr="00C86940">
              <w:rPr>
                <w:rFonts w:cstheme="minorHAnsi"/>
                <w:color w:val="000000"/>
              </w:rPr>
              <w:t>CV(%)</w:t>
            </w:r>
          </w:p>
        </w:tc>
        <w:tc>
          <w:tcPr>
            <w:tcW w:w="1212" w:type="pct"/>
            <w:vAlign w:val="bottom"/>
          </w:tcPr>
          <w:p w14:paraId="79ACC53B" w14:textId="630A163B" w:rsidR="0069396C" w:rsidRPr="00C86940" w:rsidRDefault="0069396C" w:rsidP="0069396C">
            <w:pPr>
              <w:autoSpaceDE w:val="0"/>
              <w:autoSpaceDN w:val="0"/>
              <w:adjustRightInd w:val="0"/>
              <w:spacing w:after="0" w:line="240" w:lineRule="auto"/>
              <w:jc w:val="center"/>
              <w:rPr>
                <w:rFonts w:cstheme="minorHAnsi"/>
                <w:color w:val="000000"/>
              </w:rPr>
            </w:pPr>
            <w:r>
              <w:rPr>
                <w:rFonts w:ascii="Calibri" w:hAnsi="Calibri" w:cs="Calibri"/>
                <w:color w:val="000000"/>
              </w:rPr>
              <w:t>0.4</w:t>
            </w:r>
          </w:p>
        </w:tc>
        <w:tc>
          <w:tcPr>
            <w:tcW w:w="916" w:type="pct"/>
            <w:vAlign w:val="bottom"/>
          </w:tcPr>
          <w:p w14:paraId="74175287" w14:textId="1503B92B" w:rsidR="0069396C" w:rsidRPr="00C86940" w:rsidRDefault="0069396C" w:rsidP="0069396C">
            <w:pPr>
              <w:autoSpaceDE w:val="0"/>
              <w:autoSpaceDN w:val="0"/>
              <w:adjustRightInd w:val="0"/>
              <w:spacing w:after="0" w:line="240" w:lineRule="auto"/>
              <w:jc w:val="center"/>
              <w:rPr>
                <w:rFonts w:cstheme="minorHAnsi"/>
                <w:color w:val="000000"/>
              </w:rPr>
            </w:pPr>
            <w:r>
              <w:rPr>
                <w:rFonts w:ascii="Calibri" w:hAnsi="Calibri" w:cs="Calibri"/>
              </w:rPr>
              <w:t>51%</w:t>
            </w:r>
          </w:p>
        </w:tc>
        <w:tc>
          <w:tcPr>
            <w:tcW w:w="792" w:type="pct"/>
            <w:vAlign w:val="bottom"/>
          </w:tcPr>
          <w:p w14:paraId="3DC60D0A" w14:textId="4AE35108" w:rsidR="0069396C" w:rsidRPr="00C86940" w:rsidRDefault="0069396C" w:rsidP="0069396C">
            <w:pPr>
              <w:autoSpaceDE w:val="0"/>
              <w:autoSpaceDN w:val="0"/>
              <w:adjustRightInd w:val="0"/>
              <w:spacing w:after="0" w:line="240" w:lineRule="auto"/>
              <w:jc w:val="center"/>
              <w:rPr>
                <w:rFonts w:cstheme="minorHAnsi"/>
                <w:color w:val="000000"/>
              </w:rPr>
            </w:pPr>
            <w:r>
              <w:rPr>
                <w:rFonts w:ascii="Calibri" w:hAnsi="Calibri" w:cs="Calibri"/>
              </w:rPr>
              <w:t>41%</w:t>
            </w:r>
          </w:p>
        </w:tc>
        <w:tc>
          <w:tcPr>
            <w:tcW w:w="792" w:type="pct"/>
            <w:vAlign w:val="bottom"/>
          </w:tcPr>
          <w:p w14:paraId="71EF062E" w14:textId="0DA87268" w:rsidR="0069396C" w:rsidRPr="00C86940" w:rsidRDefault="0069396C" w:rsidP="0069396C">
            <w:pPr>
              <w:autoSpaceDE w:val="0"/>
              <w:autoSpaceDN w:val="0"/>
              <w:adjustRightInd w:val="0"/>
              <w:spacing w:after="0" w:line="240" w:lineRule="auto"/>
              <w:jc w:val="center"/>
              <w:rPr>
                <w:rFonts w:cstheme="minorHAnsi"/>
                <w:color w:val="000000"/>
              </w:rPr>
            </w:pPr>
            <w:r>
              <w:rPr>
                <w:rFonts w:ascii="Calibri" w:hAnsi="Calibri" w:cs="Calibri"/>
              </w:rPr>
              <w:t>27%</w:t>
            </w:r>
          </w:p>
        </w:tc>
        <w:tc>
          <w:tcPr>
            <w:tcW w:w="792" w:type="pct"/>
            <w:vAlign w:val="bottom"/>
          </w:tcPr>
          <w:p w14:paraId="79CD12D6" w14:textId="1239B2BC" w:rsidR="0069396C" w:rsidRPr="00C86940" w:rsidRDefault="0069396C" w:rsidP="0069396C">
            <w:pPr>
              <w:autoSpaceDE w:val="0"/>
              <w:autoSpaceDN w:val="0"/>
              <w:adjustRightInd w:val="0"/>
              <w:spacing w:after="0" w:line="240" w:lineRule="auto"/>
              <w:jc w:val="center"/>
              <w:rPr>
                <w:rFonts w:cstheme="minorHAnsi"/>
                <w:color w:val="000000"/>
              </w:rPr>
            </w:pPr>
            <w:r>
              <w:rPr>
                <w:rFonts w:ascii="Calibri" w:hAnsi="Calibri" w:cs="Calibri"/>
              </w:rPr>
              <w:t>51%</w:t>
            </w:r>
          </w:p>
        </w:tc>
      </w:tr>
      <w:tr w:rsidR="0069396C" w:rsidRPr="00C86940" w14:paraId="722A4DCA" w14:textId="77777777" w:rsidTr="0069396C">
        <w:trPr>
          <w:trHeight w:val="290"/>
        </w:trPr>
        <w:tc>
          <w:tcPr>
            <w:tcW w:w="496" w:type="pct"/>
          </w:tcPr>
          <w:p w14:paraId="1F247E87" w14:textId="77777777" w:rsidR="0069396C" w:rsidRPr="00C86940" w:rsidRDefault="0069396C" w:rsidP="0069396C">
            <w:pPr>
              <w:autoSpaceDE w:val="0"/>
              <w:autoSpaceDN w:val="0"/>
              <w:adjustRightInd w:val="0"/>
              <w:spacing w:after="0" w:line="240" w:lineRule="auto"/>
              <w:jc w:val="right"/>
              <w:rPr>
                <w:rFonts w:cstheme="minorHAnsi"/>
                <w:color w:val="000000"/>
              </w:rPr>
            </w:pPr>
            <w:r w:rsidRPr="00C86940">
              <w:rPr>
                <w:rFonts w:cstheme="minorHAnsi"/>
                <w:color w:val="000000"/>
              </w:rPr>
              <w:t>stan error</w:t>
            </w:r>
          </w:p>
        </w:tc>
        <w:tc>
          <w:tcPr>
            <w:tcW w:w="1212" w:type="pct"/>
            <w:vAlign w:val="bottom"/>
          </w:tcPr>
          <w:p w14:paraId="5616CD9E" w14:textId="42CB2076" w:rsidR="0069396C" w:rsidRPr="00C86940" w:rsidRDefault="0069396C" w:rsidP="0069396C">
            <w:pPr>
              <w:autoSpaceDE w:val="0"/>
              <w:autoSpaceDN w:val="0"/>
              <w:adjustRightInd w:val="0"/>
              <w:spacing w:after="0" w:line="240" w:lineRule="auto"/>
              <w:jc w:val="center"/>
              <w:rPr>
                <w:rFonts w:cstheme="minorHAnsi"/>
                <w:color w:val="000000"/>
              </w:rPr>
            </w:pPr>
            <w:r>
              <w:rPr>
                <w:rFonts w:ascii="Calibri" w:hAnsi="Calibri" w:cs="Calibri"/>
                <w:color w:val="000000"/>
              </w:rPr>
              <w:t>12.0</w:t>
            </w:r>
          </w:p>
        </w:tc>
        <w:tc>
          <w:tcPr>
            <w:tcW w:w="916" w:type="pct"/>
            <w:vAlign w:val="bottom"/>
          </w:tcPr>
          <w:p w14:paraId="43DB18AA" w14:textId="05A91A79"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15.8</w:t>
            </w:r>
          </w:p>
        </w:tc>
        <w:tc>
          <w:tcPr>
            <w:tcW w:w="792" w:type="pct"/>
            <w:vAlign w:val="bottom"/>
          </w:tcPr>
          <w:p w14:paraId="474E0BAC" w14:textId="436951FF"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21.7</w:t>
            </w:r>
          </w:p>
        </w:tc>
        <w:tc>
          <w:tcPr>
            <w:tcW w:w="792" w:type="pct"/>
            <w:vAlign w:val="bottom"/>
          </w:tcPr>
          <w:p w14:paraId="18229E21" w14:textId="3A7B8CC3"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14.6</w:t>
            </w:r>
          </w:p>
        </w:tc>
        <w:tc>
          <w:tcPr>
            <w:tcW w:w="792" w:type="pct"/>
            <w:vAlign w:val="bottom"/>
          </w:tcPr>
          <w:p w14:paraId="031906E6" w14:textId="30D3E89C"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14.5</w:t>
            </w:r>
          </w:p>
        </w:tc>
      </w:tr>
      <w:tr w:rsidR="0069396C" w:rsidRPr="00C86940" w14:paraId="230289AC" w14:textId="77777777" w:rsidTr="0069396C">
        <w:trPr>
          <w:trHeight w:val="290"/>
        </w:trPr>
        <w:tc>
          <w:tcPr>
            <w:tcW w:w="496" w:type="pct"/>
          </w:tcPr>
          <w:p w14:paraId="5BF72CFA" w14:textId="77777777" w:rsidR="0069396C" w:rsidRPr="00C86940" w:rsidRDefault="0069396C" w:rsidP="0069396C">
            <w:pPr>
              <w:autoSpaceDE w:val="0"/>
              <w:autoSpaceDN w:val="0"/>
              <w:adjustRightInd w:val="0"/>
              <w:spacing w:after="0" w:line="240" w:lineRule="auto"/>
              <w:jc w:val="right"/>
              <w:rPr>
                <w:rFonts w:cstheme="minorHAnsi"/>
                <w:color w:val="000000"/>
              </w:rPr>
            </w:pPr>
            <w:r w:rsidRPr="00C86940">
              <w:rPr>
                <w:rFonts w:cstheme="minorHAnsi"/>
                <w:color w:val="000000"/>
              </w:rPr>
              <w:t>90% CI</w:t>
            </w:r>
          </w:p>
        </w:tc>
        <w:tc>
          <w:tcPr>
            <w:tcW w:w="1212" w:type="pct"/>
            <w:vAlign w:val="bottom"/>
          </w:tcPr>
          <w:p w14:paraId="348567A2" w14:textId="38FBE859" w:rsidR="0069396C" w:rsidRPr="00C86940" w:rsidRDefault="0069396C" w:rsidP="0069396C">
            <w:pPr>
              <w:autoSpaceDE w:val="0"/>
              <w:autoSpaceDN w:val="0"/>
              <w:adjustRightInd w:val="0"/>
              <w:spacing w:after="0" w:line="240" w:lineRule="auto"/>
              <w:jc w:val="center"/>
              <w:rPr>
                <w:rFonts w:cstheme="minorHAnsi"/>
                <w:color w:val="000000"/>
              </w:rPr>
            </w:pPr>
            <w:r>
              <w:rPr>
                <w:rFonts w:ascii="Calibri" w:hAnsi="Calibri" w:cs="Calibri"/>
                <w:color w:val="000000"/>
              </w:rPr>
              <w:t>20.2</w:t>
            </w:r>
          </w:p>
        </w:tc>
        <w:tc>
          <w:tcPr>
            <w:tcW w:w="916" w:type="pct"/>
            <w:vAlign w:val="bottom"/>
          </w:tcPr>
          <w:p w14:paraId="7CE59281" w14:textId="330D7493"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26.7</w:t>
            </w:r>
          </w:p>
        </w:tc>
        <w:tc>
          <w:tcPr>
            <w:tcW w:w="792" w:type="pct"/>
            <w:vAlign w:val="bottom"/>
          </w:tcPr>
          <w:p w14:paraId="0E326B35" w14:textId="263E07DE"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41.0</w:t>
            </w:r>
          </w:p>
        </w:tc>
        <w:tc>
          <w:tcPr>
            <w:tcW w:w="792" w:type="pct"/>
            <w:vAlign w:val="bottom"/>
          </w:tcPr>
          <w:p w14:paraId="3F478BF9" w14:textId="34C088AB"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27.2</w:t>
            </w:r>
          </w:p>
        </w:tc>
        <w:tc>
          <w:tcPr>
            <w:tcW w:w="792" w:type="pct"/>
            <w:vAlign w:val="bottom"/>
          </w:tcPr>
          <w:p w14:paraId="36D1A061" w14:textId="5947EABA"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24.7</w:t>
            </w:r>
          </w:p>
        </w:tc>
      </w:tr>
      <w:tr w:rsidR="0069396C" w:rsidRPr="00C86940" w14:paraId="0AFB8B48" w14:textId="77777777" w:rsidTr="0069396C">
        <w:trPr>
          <w:trHeight w:val="290"/>
        </w:trPr>
        <w:tc>
          <w:tcPr>
            <w:tcW w:w="496" w:type="pct"/>
          </w:tcPr>
          <w:p w14:paraId="33685C8F" w14:textId="77777777" w:rsidR="0069396C" w:rsidRPr="00C86940" w:rsidRDefault="0069396C" w:rsidP="0069396C">
            <w:pPr>
              <w:autoSpaceDE w:val="0"/>
              <w:autoSpaceDN w:val="0"/>
              <w:adjustRightInd w:val="0"/>
              <w:spacing w:after="0" w:line="240" w:lineRule="auto"/>
              <w:jc w:val="right"/>
              <w:rPr>
                <w:rFonts w:cstheme="minorHAnsi"/>
                <w:color w:val="000000"/>
              </w:rPr>
            </w:pPr>
            <w:r w:rsidRPr="00C86940">
              <w:rPr>
                <w:rFonts w:cstheme="minorHAnsi"/>
                <w:color w:val="000000"/>
              </w:rPr>
              <w:t>n</w:t>
            </w:r>
          </w:p>
        </w:tc>
        <w:tc>
          <w:tcPr>
            <w:tcW w:w="1212" w:type="pct"/>
            <w:vAlign w:val="bottom"/>
          </w:tcPr>
          <w:p w14:paraId="45B3A1F5" w14:textId="4BCFFA3B" w:rsidR="0069396C" w:rsidRPr="00C86940" w:rsidRDefault="0069396C" w:rsidP="0069396C">
            <w:pPr>
              <w:autoSpaceDE w:val="0"/>
              <w:autoSpaceDN w:val="0"/>
              <w:adjustRightInd w:val="0"/>
              <w:spacing w:after="0" w:line="240" w:lineRule="auto"/>
              <w:jc w:val="center"/>
              <w:rPr>
                <w:rFonts w:cstheme="minorHAnsi"/>
                <w:color w:val="000000"/>
              </w:rPr>
            </w:pPr>
            <w:r>
              <w:rPr>
                <w:rFonts w:ascii="Calibri" w:hAnsi="Calibri" w:cs="Calibri"/>
                <w:color w:val="000000"/>
              </w:rPr>
              <w:t>56</w:t>
            </w:r>
          </w:p>
        </w:tc>
        <w:tc>
          <w:tcPr>
            <w:tcW w:w="916" w:type="pct"/>
            <w:vAlign w:val="bottom"/>
          </w:tcPr>
          <w:p w14:paraId="1758FCD6" w14:textId="04BF7D22"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41</w:t>
            </w:r>
          </w:p>
        </w:tc>
        <w:tc>
          <w:tcPr>
            <w:tcW w:w="792" w:type="pct"/>
            <w:vAlign w:val="bottom"/>
          </w:tcPr>
          <w:p w14:paraId="4BE8667F" w14:textId="413030B5"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8</w:t>
            </w:r>
          </w:p>
        </w:tc>
        <w:tc>
          <w:tcPr>
            <w:tcW w:w="792" w:type="pct"/>
            <w:vAlign w:val="bottom"/>
          </w:tcPr>
          <w:p w14:paraId="2DB0FE4A" w14:textId="70C961CC"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9</w:t>
            </w:r>
          </w:p>
        </w:tc>
        <w:tc>
          <w:tcPr>
            <w:tcW w:w="792" w:type="pct"/>
            <w:vAlign w:val="bottom"/>
          </w:tcPr>
          <w:p w14:paraId="7A1822CA" w14:textId="78B9CB56" w:rsidR="0069396C" w:rsidRPr="00C86940" w:rsidRDefault="0069396C" w:rsidP="0069396C">
            <w:pPr>
              <w:autoSpaceDE w:val="0"/>
              <w:autoSpaceDN w:val="0"/>
              <w:adjustRightInd w:val="0"/>
              <w:spacing w:after="0" w:line="240" w:lineRule="auto"/>
              <w:jc w:val="center"/>
              <w:rPr>
                <w:rFonts w:cstheme="minorHAnsi"/>
                <w:color w:val="000000"/>
              </w:rPr>
            </w:pPr>
            <w:r>
              <w:rPr>
                <w:rFonts w:ascii="Arial" w:hAnsi="Arial" w:cs="Arial"/>
              </w:rPr>
              <w:t>29</w:t>
            </w:r>
          </w:p>
        </w:tc>
      </w:tr>
      <w:tr w:rsidR="0069396C" w:rsidRPr="00C86940" w14:paraId="52C97F7D" w14:textId="77777777" w:rsidTr="0069396C">
        <w:trPr>
          <w:trHeight w:val="290"/>
        </w:trPr>
        <w:tc>
          <w:tcPr>
            <w:tcW w:w="496" w:type="pct"/>
          </w:tcPr>
          <w:p w14:paraId="6F1B1235" w14:textId="73508C5A" w:rsidR="0069396C" w:rsidRPr="00C86940" w:rsidRDefault="0069396C" w:rsidP="0069396C">
            <w:pPr>
              <w:autoSpaceDE w:val="0"/>
              <w:autoSpaceDN w:val="0"/>
              <w:adjustRightInd w:val="0"/>
              <w:spacing w:after="0" w:line="240" w:lineRule="auto"/>
              <w:jc w:val="right"/>
              <w:rPr>
                <w:rFonts w:cstheme="minorHAnsi"/>
                <w:color w:val="000000"/>
              </w:rPr>
            </w:pPr>
            <w:r w:rsidRPr="00C86940">
              <w:rPr>
                <w:rFonts w:cstheme="minorHAnsi"/>
                <w:color w:val="000000"/>
              </w:rPr>
              <w:t>ac</w:t>
            </w:r>
            <w:r>
              <w:rPr>
                <w:rFonts w:cstheme="minorHAnsi"/>
                <w:color w:val="000000"/>
              </w:rPr>
              <w:t>res</w:t>
            </w:r>
          </w:p>
        </w:tc>
        <w:tc>
          <w:tcPr>
            <w:tcW w:w="1212" w:type="pct"/>
            <w:vAlign w:val="bottom"/>
          </w:tcPr>
          <w:p w14:paraId="7C967F46" w14:textId="35E8364C" w:rsidR="0069396C" w:rsidRPr="00C86940" w:rsidRDefault="0069396C" w:rsidP="0069396C">
            <w:pPr>
              <w:autoSpaceDE w:val="0"/>
              <w:autoSpaceDN w:val="0"/>
              <w:adjustRightInd w:val="0"/>
              <w:spacing w:after="0" w:line="240" w:lineRule="auto"/>
              <w:jc w:val="right"/>
              <w:rPr>
                <w:rFonts w:cstheme="minorHAnsi"/>
                <w:color w:val="000000"/>
              </w:rPr>
            </w:pPr>
            <w:r>
              <w:rPr>
                <w:rFonts w:ascii="Calibri" w:hAnsi="Calibri" w:cs="Calibri"/>
                <w:color w:val="000000"/>
              </w:rPr>
              <w:t>4362.977</w:t>
            </w:r>
          </w:p>
        </w:tc>
        <w:tc>
          <w:tcPr>
            <w:tcW w:w="916" w:type="pct"/>
            <w:vAlign w:val="bottom"/>
          </w:tcPr>
          <w:p w14:paraId="349DA2BB" w14:textId="2877E112" w:rsidR="0069396C" w:rsidRPr="00C86940" w:rsidRDefault="0069396C" w:rsidP="0069396C">
            <w:pPr>
              <w:autoSpaceDE w:val="0"/>
              <w:autoSpaceDN w:val="0"/>
              <w:adjustRightInd w:val="0"/>
              <w:spacing w:after="0" w:line="240" w:lineRule="auto"/>
              <w:jc w:val="right"/>
              <w:rPr>
                <w:rFonts w:cstheme="minorHAnsi"/>
                <w:color w:val="000000"/>
              </w:rPr>
            </w:pPr>
            <w:r>
              <w:rPr>
                <w:rFonts w:ascii="Arial" w:hAnsi="Arial" w:cs="Arial"/>
              </w:rPr>
              <w:t>3994.3</w:t>
            </w:r>
          </w:p>
        </w:tc>
        <w:tc>
          <w:tcPr>
            <w:tcW w:w="792" w:type="pct"/>
            <w:vAlign w:val="bottom"/>
          </w:tcPr>
          <w:p w14:paraId="1E78B4FB" w14:textId="1A0232C1" w:rsidR="0069396C" w:rsidRPr="00C86940" w:rsidRDefault="0069396C" w:rsidP="0069396C">
            <w:pPr>
              <w:autoSpaceDE w:val="0"/>
              <w:autoSpaceDN w:val="0"/>
              <w:adjustRightInd w:val="0"/>
              <w:spacing w:after="0" w:line="240" w:lineRule="auto"/>
              <w:jc w:val="right"/>
              <w:rPr>
                <w:rFonts w:cstheme="minorHAnsi"/>
                <w:color w:val="000000"/>
              </w:rPr>
            </w:pPr>
            <w:r>
              <w:rPr>
                <w:rFonts w:ascii="Arial" w:hAnsi="Arial" w:cs="Arial"/>
              </w:rPr>
              <w:t>505.5</w:t>
            </w:r>
          </w:p>
        </w:tc>
        <w:tc>
          <w:tcPr>
            <w:tcW w:w="792" w:type="pct"/>
            <w:vAlign w:val="bottom"/>
          </w:tcPr>
          <w:p w14:paraId="17C3BAE2" w14:textId="6161C6F7" w:rsidR="0069396C" w:rsidRPr="00C86940" w:rsidRDefault="0069396C" w:rsidP="0069396C">
            <w:pPr>
              <w:autoSpaceDE w:val="0"/>
              <w:autoSpaceDN w:val="0"/>
              <w:adjustRightInd w:val="0"/>
              <w:spacing w:after="0" w:line="240" w:lineRule="auto"/>
              <w:jc w:val="right"/>
              <w:rPr>
                <w:rFonts w:cstheme="minorHAnsi"/>
                <w:color w:val="000000"/>
              </w:rPr>
            </w:pPr>
            <w:r>
              <w:rPr>
                <w:rFonts w:ascii="Arial" w:hAnsi="Arial" w:cs="Arial"/>
              </w:rPr>
              <w:t>254.3</w:t>
            </w:r>
          </w:p>
        </w:tc>
        <w:tc>
          <w:tcPr>
            <w:tcW w:w="792" w:type="pct"/>
            <w:vAlign w:val="bottom"/>
          </w:tcPr>
          <w:p w14:paraId="4AE51E55" w14:textId="7F1ADC0D" w:rsidR="0069396C" w:rsidRPr="00C86940" w:rsidRDefault="0069396C" w:rsidP="0069396C">
            <w:pPr>
              <w:autoSpaceDE w:val="0"/>
              <w:autoSpaceDN w:val="0"/>
              <w:adjustRightInd w:val="0"/>
              <w:spacing w:after="0" w:line="240" w:lineRule="auto"/>
              <w:jc w:val="right"/>
              <w:rPr>
                <w:rFonts w:cstheme="minorHAnsi"/>
                <w:color w:val="000000"/>
              </w:rPr>
            </w:pPr>
            <w:r>
              <w:rPr>
                <w:rFonts w:ascii="Arial" w:hAnsi="Arial" w:cs="Arial"/>
              </w:rPr>
              <w:t>2145.5</w:t>
            </w:r>
          </w:p>
        </w:tc>
      </w:tr>
      <w:tr w:rsidR="0069396C" w:rsidRPr="00C86940" w14:paraId="0F03FDC1" w14:textId="77777777" w:rsidTr="0069396C">
        <w:trPr>
          <w:trHeight w:val="290"/>
        </w:trPr>
        <w:tc>
          <w:tcPr>
            <w:tcW w:w="496" w:type="pct"/>
          </w:tcPr>
          <w:p w14:paraId="50538AF7" w14:textId="77777777" w:rsidR="0069396C" w:rsidRPr="00C86940" w:rsidRDefault="0069396C" w:rsidP="0069396C">
            <w:pPr>
              <w:autoSpaceDE w:val="0"/>
              <w:autoSpaceDN w:val="0"/>
              <w:adjustRightInd w:val="0"/>
              <w:spacing w:after="0" w:line="240" w:lineRule="auto"/>
              <w:jc w:val="right"/>
              <w:rPr>
                <w:rFonts w:cstheme="minorHAnsi"/>
                <w:color w:val="000000"/>
              </w:rPr>
            </w:pPr>
            <w:r w:rsidRPr="00C86940">
              <w:rPr>
                <w:rFonts w:cstheme="minorHAnsi"/>
                <w:color w:val="000000"/>
              </w:rPr>
              <w:t>stan error</w:t>
            </w:r>
          </w:p>
        </w:tc>
        <w:tc>
          <w:tcPr>
            <w:tcW w:w="1212" w:type="pct"/>
            <w:vAlign w:val="bottom"/>
          </w:tcPr>
          <w:p w14:paraId="30071321" w14:textId="6A9A2C9A" w:rsidR="0069396C" w:rsidRPr="00C86940" w:rsidRDefault="0069396C" w:rsidP="0069396C">
            <w:pPr>
              <w:autoSpaceDE w:val="0"/>
              <w:autoSpaceDN w:val="0"/>
              <w:adjustRightInd w:val="0"/>
              <w:spacing w:after="0" w:line="240" w:lineRule="auto"/>
              <w:jc w:val="right"/>
              <w:rPr>
                <w:rFonts w:cstheme="minorHAnsi"/>
                <w:color w:val="000000"/>
              </w:rPr>
            </w:pPr>
            <w:r>
              <w:rPr>
                <w:rFonts w:ascii="Calibri" w:hAnsi="Calibri" w:cs="Calibri"/>
                <w:color w:val="000000"/>
              </w:rPr>
              <w:t>7.9</w:t>
            </w:r>
          </w:p>
        </w:tc>
        <w:tc>
          <w:tcPr>
            <w:tcW w:w="916" w:type="pct"/>
          </w:tcPr>
          <w:p w14:paraId="1A7593F6" w14:textId="77777777" w:rsidR="0069396C" w:rsidRPr="00C86940" w:rsidRDefault="0069396C" w:rsidP="0069396C">
            <w:pPr>
              <w:autoSpaceDE w:val="0"/>
              <w:autoSpaceDN w:val="0"/>
              <w:adjustRightInd w:val="0"/>
              <w:spacing w:after="0" w:line="240" w:lineRule="auto"/>
              <w:jc w:val="right"/>
              <w:rPr>
                <w:rFonts w:cstheme="minorHAnsi"/>
                <w:color w:val="000000"/>
              </w:rPr>
            </w:pPr>
          </w:p>
        </w:tc>
        <w:tc>
          <w:tcPr>
            <w:tcW w:w="792" w:type="pct"/>
          </w:tcPr>
          <w:p w14:paraId="2BB9F5F9" w14:textId="77777777" w:rsidR="0069396C" w:rsidRPr="00C86940" w:rsidRDefault="0069396C" w:rsidP="0069396C">
            <w:pPr>
              <w:autoSpaceDE w:val="0"/>
              <w:autoSpaceDN w:val="0"/>
              <w:adjustRightInd w:val="0"/>
              <w:spacing w:after="0" w:line="240" w:lineRule="auto"/>
              <w:jc w:val="right"/>
              <w:rPr>
                <w:rFonts w:cstheme="minorHAnsi"/>
                <w:color w:val="000000"/>
              </w:rPr>
            </w:pPr>
          </w:p>
        </w:tc>
        <w:tc>
          <w:tcPr>
            <w:tcW w:w="792" w:type="pct"/>
          </w:tcPr>
          <w:p w14:paraId="181E0E60" w14:textId="77777777" w:rsidR="0069396C" w:rsidRPr="00C86940" w:rsidRDefault="0069396C" w:rsidP="0069396C">
            <w:pPr>
              <w:autoSpaceDE w:val="0"/>
              <w:autoSpaceDN w:val="0"/>
              <w:adjustRightInd w:val="0"/>
              <w:spacing w:after="0" w:line="240" w:lineRule="auto"/>
              <w:jc w:val="right"/>
              <w:rPr>
                <w:rFonts w:cstheme="minorHAnsi"/>
                <w:color w:val="000000"/>
              </w:rPr>
            </w:pPr>
          </w:p>
        </w:tc>
        <w:tc>
          <w:tcPr>
            <w:tcW w:w="792" w:type="pct"/>
          </w:tcPr>
          <w:p w14:paraId="541A4633" w14:textId="77777777" w:rsidR="0069396C" w:rsidRPr="00C86940" w:rsidRDefault="0069396C" w:rsidP="0069396C">
            <w:pPr>
              <w:autoSpaceDE w:val="0"/>
              <w:autoSpaceDN w:val="0"/>
              <w:adjustRightInd w:val="0"/>
              <w:spacing w:after="0" w:line="240" w:lineRule="auto"/>
              <w:jc w:val="right"/>
              <w:rPr>
                <w:rFonts w:cstheme="minorHAnsi"/>
                <w:color w:val="000000"/>
              </w:rPr>
            </w:pPr>
          </w:p>
        </w:tc>
      </w:tr>
      <w:tr w:rsidR="0069396C" w:rsidRPr="00C86940" w14:paraId="0E686048" w14:textId="77777777" w:rsidTr="0069396C">
        <w:trPr>
          <w:trHeight w:val="290"/>
        </w:trPr>
        <w:tc>
          <w:tcPr>
            <w:tcW w:w="496" w:type="pct"/>
          </w:tcPr>
          <w:p w14:paraId="272A85D2" w14:textId="77777777" w:rsidR="0069396C" w:rsidRPr="00C86940" w:rsidRDefault="0069396C" w:rsidP="0069396C">
            <w:pPr>
              <w:autoSpaceDE w:val="0"/>
              <w:autoSpaceDN w:val="0"/>
              <w:adjustRightInd w:val="0"/>
              <w:spacing w:after="0" w:line="240" w:lineRule="auto"/>
              <w:jc w:val="right"/>
              <w:rPr>
                <w:rFonts w:cstheme="minorHAnsi"/>
                <w:color w:val="000000"/>
              </w:rPr>
            </w:pPr>
            <w:r w:rsidRPr="00C86940">
              <w:rPr>
                <w:rFonts w:cstheme="minorHAnsi"/>
                <w:color w:val="000000"/>
              </w:rPr>
              <w:t>mean</w:t>
            </w:r>
          </w:p>
        </w:tc>
        <w:tc>
          <w:tcPr>
            <w:tcW w:w="1212" w:type="pct"/>
            <w:vAlign w:val="bottom"/>
          </w:tcPr>
          <w:p w14:paraId="255C7F50" w14:textId="272227DB" w:rsidR="0069396C" w:rsidRPr="00C86940" w:rsidRDefault="0069396C" w:rsidP="0069396C">
            <w:pPr>
              <w:autoSpaceDE w:val="0"/>
              <w:autoSpaceDN w:val="0"/>
              <w:adjustRightInd w:val="0"/>
              <w:spacing w:after="0" w:line="240" w:lineRule="auto"/>
              <w:jc w:val="right"/>
              <w:rPr>
                <w:rFonts w:cstheme="minorHAnsi"/>
                <w:color w:val="000000"/>
              </w:rPr>
            </w:pPr>
            <w:r>
              <w:rPr>
                <w:rFonts w:ascii="Calibri" w:hAnsi="Calibri" w:cs="Calibri"/>
                <w:color w:val="000000"/>
              </w:rPr>
              <w:t>196.3</w:t>
            </w:r>
          </w:p>
        </w:tc>
        <w:tc>
          <w:tcPr>
            <w:tcW w:w="916" w:type="pct"/>
          </w:tcPr>
          <w:p w14:paraId="688CF87A" w14:textId="77777777" w:rsidR="0069396C" w:rsidRPr="00C86940" w:rsidRDefault="0069396C" w:rsidP="0069396C">
            <w:pPr>
              <w:autoSpaceDE w:val="0"/>
              <w:autoSpaceDN w:val="0"/>
              <w:adjustRightInd w:val="0"/>
              <w:spacing w:after="0" w:line="240" w:lineRule="auto"/>
              <w:jc w:val="right"/>
              <w:rPr>
                <w:rFonts w:cstheme="minorHAnsi"/>
                <w:color w:val="000000"/>
              </w:rPr>
            </w:pPr>
          </w:p>
        </w:tc>
        <w:tc>
          <w:tcPr>
            <w:tcW w:w="792" w:type="pct"/>
          </w:tcPr>
          <w:p w14:paraId="0325470D" w14:textId="77777777" w:rsidR="0069396C" w:rsidRPr="00C86940" w:rsidRDefault="0069396C" w:rsidP="0069396C">
            <w:pPr>
              <w:autoSpaceDE w:val="0"/>
              <w:autoSpaceDN w:val="0"/>
              <w:adjustRightInd w:val="0"/>
              <w:spacing w:after="0" w:line="240" w:lineRule="auto"/>
              <w:jc w:val="right"/>
              <w:rPr>
                <w:rFonts w:cstheme="minorHAnsi"/>
                <w:color w:val="000000"/>
              </w:rPr>
            </w:pPr>
          </w:p>
        </w:tc>
        <w:tc>
          <w:tcPr>
            <w:tcW w:w="792" w:type="pct"/>
          </w:tcPr>
          <w:p w14:paraId="48237252" w14:textId="77777777" w:rsidR="0069396C" w:rsidRPr="00C86940" w:rsidRDefault="0069396C" w:rsidP="0069396C">
            <w:pPr>
              <w:autoSpaceDE w:val="0"/>
              <w:autoSpaceDN w:val="0"/>
              <w:adjustRightInd w:val="0"/>
              <w:spacing w:after="0" w:line="240" w:lineRule="auto"/>
              <w:jc w:val="right"/>
              <w:rPr>
                <w:rFonts w:cstheme="minorHAnsi"/>
                <w:color w:val="000000"/>
              </w:rPr>
            </w:pPr>
          </w:p>
        </w:tc>
        <w:tc>
          <w:tcPr>
            <w:tcW w:w="792" w:type="pct"/>
          </w:tcPr>
          <w:p w14:paraId="12E5A144" w14:textId="77777777" w:rsidR="0069396C" w:rsidRPr="00C86940" w:rsidRDefault="0069396C" w:rsidP="0069396C">
            <w:pPr>
              <w:autoSpaceDE w:val="0"/>
              <w:autoSpaceDN w:val="0"/>
              <w:adjustRightInd w:val="0"/>
              <w:spacing w:after="0" w:line="240" w:lineRule="auto"/>
              <w:jc w:val="right"/>
              <w:rPr>
                <w:rFonts w:cstheme="minorHAnsi"/>
                <w:color w:val="000000"/>
              </w:rPr>
            </w:pPr>
          </w:p>
        </w:tc>
      </w:tr>
      <w:tr w:rsidR="0069396C" w:rsidRPr="00C86940" w14:paraId="2EC13D1A" w14:textId="77777777" w:rsidTr="0069396C">
        <w:trPr>
          <w:trHeight w:val="290"/>
        </w:trPr>
        <w:tc>
          <w:tcPr>
            <w:tcW w:w="496" w:type="pct"/>
          </w:tcPr>
          <w:p w14:paraId="554274EF" w14:textId="77777777" w:rsidR="0069396C" w:rsidRPr="00C86940" w:rsidRDefault="0069396C" w:rsidP="0069396C">
            <w:pPr>
              <w:autoSpaceDE w:val="0"/>
              <w:autoSpaceDN w:val="0"/>
              <w:adjustRightInd w:val="0"/>
              <w:spacing w:after="0" w:line="240" w:lineRule="auto"/>
              <w:jc w:val="right"/>
              <w:rPr>
                <w:rFonts w:cstheme="minorHAnsi"/>
                <w:color w:val="000000"/>
              </w:rPr>
            </w:pPr>
            <w:r w:rsidRPr="00C86940">
              <w:rPr>
                <w:rFonts w:cstheme="minorHAnsi"/>
                <w:color w:val="000000"/>
              </w:rPr>
              <w:t>90% CI</w:t>
            </w:r>
          </w:p>
        </w:tc>
        <w:tc>
          <w:tcPr>
            <w:tcW w:w="1212" w:type="pct"/>
            <w:vAlign w:val="bottom"/>
          </w:tcPr>
          <w:p w14:paraId="718CD94D" w14:textId="48C85A39" w:rsidR="0069396C" w:rsidRPr="00C86940" w:rsidRDefault="0069396C" w:rsidP="0069396C">
            <w:pPr>
              <w:autoSpaceDE w:val="0"/>
              <w:autoSpaceDN w:val="0"/>
              <w:adjustRightInd w:val="0"/>
              <w:spacing w:after="0" w:line="240" w:lineRule="auto"/>
              <w:jc w:val="right"/>
              <w:rPr>
                <w:rFonts w:cstheme="minorHAnsi"/>
                <w:color w:val="000000"/>
              </w:rPr>
            </w:pPr>
            <w:r>
              <w:rPr>
                <w:rFonts w:ascii="Calibri" w:hAnsi="Calibri" w:cs="Calibri"/>
                <w:color w:val="000000"/>
              </w:rPr>
              <w:t>13.0367</w:t>
            </w:r>
          </w:p>
        </w:tc>
        <w:tc>
          <w:tcPr>
            <w:tcW w:w="916" w:type="pct"/>
          </w:tcPr>
          <w:p w14:paraId="43794F11" w14:textId="77777777" w:rsidR="0069396C" w:rsidRPr="00C86940" w:rsidRDefault="0069396C" w:rsidP="0069396C">
            <w:pPr>
              <w:autoSpaceDE w:val="0"/>
              <w:autoSpaceDN w:val="0"/>
              <w:adjustRightInd w:val="0"/>
              <w:spacing w:after="0" w:line="240" w:lineRule="auto"/>
              <w:jc w:val="right"/>
              <w:rPr>
                <w:rFonts w:cstheme="minorHAnsi"/>
                <w:color w:val="000000"/>
              </w:rPr>
            </w:pPr>
          </w:p>
        </w:tc>
        <w:tc>
          <w:tcPr>
            <w:tcW w:w="792" w:type="pct"/>
          </w:tcPr>
          <w:p w14:paraId="1FDB0ED4" w14:textId="77777777" w:rsidR="0069396C" w:rsidRPr="00C86940" w:rsidRDefault="0069396C" w:rsidP="0069396C">
            <w:pPr>
              <w:autoSpaceDE w:val="0"/>
              <w:autoSpaceDN w:val="0"/>
              <w:adjustRightInd w:val="0"/>
              <w:spacing w:after="0" w:line="240" w:lineRule="auto"/>
              <w:jc w:val="right"/>
              <w:rPr>
                <w:rFonts w:cstheme="minorHAnsi"/>
                <w:color w:val="000000"/>
              </w:rPr>
            </w:pPr>
          </w:p>
        </w:tc>
        <w:tc>
          <w:tcPr>
            <w:tcW w:w="792" w:type="pct"/>
          </w:tcPr>
          <w:p w14:paraId="31D491B7" w14:textId="77777777" w:rsidR="0069396C" w:rsidRPr="00C86940" w:rsidRDefault="0069396C" w:rsidP="0069396C">
            <w:pPr>
              <w:autoSpaceDE w:val="0"/>
              <w:autoSpaceDN w:val="0"/>
              <w:adjustRightInd w:val="0"/>
              <w:spacing w:after="0" w:line="240" w:lineRule="auto"/>
              <w:jc w:val="right"/>
              <w:rPr>
                <w:rFonts w:cstheme="minorHAnsi"/>
                <w:color w:val="000000"/>
              </w:rPr>
            </w:pPr>
          </w:p>
        </w:tc>
        <w:tc>
          <w:tcPr>
            <w:tcW w:w="792" w:type="pct"/>
          </w:tcPr>
          <w:p w14:paraId="42E6E3E2" w14:textId="77777777" w:rsidR="0069396C" w:rsidRPr="00C86940" w:rsidRDefault="0069396C" w:rsidP="0069396C">
            <w:pPr>
              <w:autoSpaceDE w:val="0"/>
              <w:autoSpaceDN w:val="0"/>
              <w:adjustRightInd w:val="0"/>
              <w:spacing w:after="0" w:line="240" w:lineRule="auto"/>
              <w:jc w:val="right"/>
              <w:rPr>
                <w:rFonts w:cstheme="minorHAnsi"/>
                <w:color w:val="000000"/>
              </w:rPr>
            </w:pPr>
          </w:p>
        </w:tc>
      </w:tr>
      <w:tr w:rsidR="0069396C" w:rsidRPr="00C86940" w14:paraId="495810A4" w14:textId="77777777" w:rsidTr="0069396C">
        <w:trPr>
          <w:trHeight w:val="290"/>
        </w:trPr>
        <w:tc>
          <w:tcPr>
            <w:tcW w:w="496" w:type="pct"/>
          </w:tcPr>
          <w:p w14:paraId="4651ECC8" w14:textId="77777777" w:rsidR="0069396C" w:rsidRPr="00C86940" w:rsidRDefault="0069396C" w:rsidP="0069396C">
            <w:pPr>
              <w:autoSpaceDE w:val="0"/>
              <w:autoSpaceDN w:val="0"/>
              <w:adjustRightInd w:val="0"/>
              <w:spacing w:after="0" w:line="240" w:lineRule="auto"/>
              <w:jc w:val="right"/>
              <w:rPr>
                <w:rFonts w:cstheme="minorHAnsi"/>
                <w:color w:val="000000"/>
              </w:rPr>
            </w:pPr>
            <w:r w:rsidRPr="00C86940">
              <w:rPr>
                <w:rFonts w:cstheme="minorHAnsi"/>
                <w:color w:val="000000"/>
              </w:rPr>
              <w:t>90% CI as % of mean</w:t>
            </w:r>
          </w:p>
        </w:tc>
        <w:tc>
          <w:tcPr>
            <w:tcW w:w="1212" w:type="pct"/>
            <w:vAlign w:val="bottom"/>
          </w:tcPr>
          <w:p w14:paraId="4FF5826E" w14:textId="5368F713" w:rsidR="0069396C" w:rsidRPr="008D51B1" w:rsidRDefault="0069396C" w:rsidP="0069396C">
            <w:pPr>
              <w:autoSpaceDE w:val="0"/>
              <w:autoSpaceDN w:val="0"/>
              <w:adjustRightInd w:val="0"/>
              <w:spacing w:after="0" w:line="240" w:lineRule="auto"/>
              <w:jc w:val="right"/>
              <w:rPr>
                <w:rFonts w:cstheme="minorHAnsi"/>
                <w:b/>
                <w:color w:val="000000"/>
              </w:rPr>
            </w:pPr>
            <w:r>
              <w:rPr>
                <w:rFonts w:ascii="Calibri" w:hAnsi="Calibri" w:cs="Calibri"/>
                <w:b/>
                <w:bCs/>
                <w:color w:val="000000"/>
              </w:rPr>
              <w:t>6.640%</w:t>
            </w:r>
          </w:p>
        </w:tc>
        <w:tc>
          <w:tcPr>
            <w:tcW w:w="916" w:type="pct"/>
          </w:tcPr>
          <w:p w14:paraId="1899A4A2" w14:textId="77777777" w:rsidR="0069396C" w:rsidRPr="00C86940" w:rsidRDefault="0069396C" w:rsidP="0069396C">
            <w:pPr>
              <w:autoSpaceDE w:val="0"/>
              <w:autoSpaceDN w:val="0"/>
              <w:adjustRightInd w:val="0"/>
              <w:spacing w:after="0" w:line="240" w:lineRule="auto"/>
              <w:jc w:val="right"/>
              <w:rPr>
                <w:rFonts w:cstheme="minorHAnsi"/>
                <w:color w:val="000000"/>
              </w:rPr>
            </w:pPr>
          </w:p>
        </w:tc>
        <w:tc>
          <w:tcPr>
            <w:tcW w:w="792" w:type="pct"/>
          </w:tcPr>
          <w:p w14:paraId="594D9931" w14:textId="77777777" w:rsidR="0069396C" w:rsidRPr="00C86940" w:rsidRDefault="0069396C" w:rsidP="0069396C">
            <w:pPr>
              <w:autoSpaceDE w:val="0"/>
              <w:autoSpaceDN w:val="0"/>
              <w:adjustRightInd w:val="0"/>
              <w:spacing w:after="0" w:line="240" w:lineRule="auto"/>
              <w:jc w:val="right"/>
              <w:rPr>
                <w:rFonts w:cstheme="minorHAnsi"/>
                <w:color w:val="000000"/>
              </w:rPr>
            </w:pPr>
          </w:p>
        </w:tc>
        <w:tc>
          <w:tcPr>
            <w:tcW w:w="792" w:type="pct"/>
          </w:tcPr>
          <w:p w14:paraId="10FACB70" w14:textId="77777777" w:rsidR="0069396C" w:rsidRPr="00C86940" w:rsidRDefault="0069396C" w:rsidP="0069396C">
            <w:pPr>
              <w:autoSpaceDE w:val="0"/>
              <w:autoSpaceDN w:val="0"/>
              <w:adjustRightInd w:val="0"/>
              <w:spacing w:after="0" w:line="240" w:lineRule="auto"/>
              <w:jc w:val="right"/>
              <w:rPr>
                <w:rFonts w:cstheme="minorHAnsi"/>
                <w:color w:val="000000"/>
              </w:rPr>
            </w:pPr>
          </w:p>
        </w:tc>
        <w:tc>
          <w:tcPr>
            <w:tcW w:w="792" w:type="pct"/>
          </w:tcPr>
          <w:p w14:paraId="005B4AFA" w14:textId="77777777" w:rsidR="0069396C" w:rsidRPr="00C86940" w:rsidRDefault="0069396C" w:rsidP="0069396C">
            <w:pPr>
              <w:autoSpaceDE w:val="0"/>
              <w:autoSpaceDN w:val="0"/>
              <w:adjustRightInd w:val="0"/>
              <w:spacing w:after="0" w:line="240" w:lineRule="auto"/>
              <w:jc w:val="right"/>
              <w:rPr>
                <w:rFonts w:cstheme="minorHAnsi"/>
                <w:color w:val="000000"/>
              </w:rPr>
            </w:pPr>
          </w:p>
        </w:tc>
      </w:tr>
    </w:tbl>
    <w:p w14:paraId="7E0D6D42" w14:textId="77777777" w:rsidR="00C86940" w:rsidRDefault="00C86940" w:rsidP="007344DF">
      <w:pPr>
        <w:rPr>
          <w:b/>
        </w:rPr>
      </w:pPr>
    </w:p>
    <w:p w14:paraId="0AD4F434" w14:textId="7C617046" w:rsidR="007344DF" w:rsidRDefault="007344DF" w:rsidP="007344DF">
      <w:r w:rsidRPr="008D3751">
        <w:t xml:space="preserve">Parameter </w:t>
      </w:r>
      <w:r w:rsidRPr="008D3751">
        <w:rPr>
          <w:i/>
        </w:rPr>
        <w:t>e</w:t>
      </w:r>
      <w:r>
        <w:rPr>
          <w:i/>
          <w:vertAlign w:val="subscript"/>
        </w:rPr>
        <w:t xml:space="preserve">BSL_DEAD </w:t>
      </w:r>
      <w:r>
        <w:t>(</w:t>
      </w:r>
      <w:r w:rsidR="00C575EF">
        <w:t>3</w:t>
      </w:r>
      <w:r w:rsidR="0069396C">
        <w:t>1.0</w:t>
      </w:r>
      <w:r w:rsidRPr="008D3751">
        <w:t xml:space="preserve">%) is </w:t>
      </w:r>
      <w:r>
        <w:t xml:space="preserve">derived below from the </w:t>
      </w:r>
      <w:r w:rsidR="00160AD6">
        <w:t xml:space="preserve">2020 </w:t>
      </w:r>
      <w:r w:rsidRPr="008D3751">
        <w:t xml:space="preserve">inventory data (from which </w:t>
      </w:r>
      <w:r w:rsidR="00160AD6">
        <w:t xml:space="preserve">November 26 2019 </w:t>
      </w:r>
      <w:r w:rsidRPr="008D3751">
        <w:t>stocks were estimated</w:t>
      </w:r>
      <w:r w:rsidR="00AF594B">
        <w:t>)</w:t>
      </w:r>
      <w:r w:rsidR="00160AD6">
        <w:t>.</w:t>
      </w:r>
    </w:p>
    <w:p w14:paraId="4358ADA5" w14:textId="4F36826F" w:rsidR="007344DF" w:rsidRDefault="007344DF" w:rsidP="007344DF">
      <w:pPr>
        <w:rPr>
          <w:b/>
        </w:rPr>
      </w:pPr>
      <w:r w:rsidRPr="006621FB">
        <w:rPr>
          <w:b/>
        </w:rPr>
        <w:t xml:space="preserve">Table </w:t>
      </w:r>
      <w:r w:rsidR="00B9370D">
        <w:rPr>
          <w:b/>
        </w:rPr>
        <w:t>E10</w:t>
      </w:r>
      <w:r w:rsidRPr="006621FB">
        <w:rPr>
          <w:b/>
        </w:rPr>
        <w:t xml:space="preserve">. </w:t>
      </w:r>
      <w:r>
        <w:rPr>
          <w:b/>
        </w:rPr>
        <w:t xml:space="preserve">Standing dead </w:t>
      </w:r>
      <w:r w:rsidRPr="006621FB">
        <w:rPr>
          <w:b/>
        </w:rPr>
        <w:t xml:space="preserve">statistics from </w:t>
      </w:r>
      <w:r w:rsidR="00160AD6">
        <w:rPr>
          <w:b/>
        </w:rPr>
        <w:t xml:space="preserve">2020 </w:t>
      </w:r>
      <w:r w:rsidRPr="006621FB">
        <w:rPr>
          <w:b/>
        </w:rPr>
        <w:t>inventory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5"/>
        <w:gridCol w:w="1832"/>
        <w:gridCol w:w="1562"/>
        <w:gridCol w:w="1466"/>
        <w:gridCol w:w="1464"/>
        <w:gridCol w:w="1561"/>
      </w:tblGrid>
      <w:tr w:rsidR="002E7B1D" w:rsidRPr="002E7B1D" w14:paraId="3140393F" w14:textId="77777777" w:rsidTr="00457C20">
        <w:trPr>
          <w:trHeight w:val="290"/>
        </w:trPr>
        <w:tc>
          <w:tcPr>
            <w:tcW w:w="783" w:type="pct"/>
          </w:tcPr>
          <w:p w14:paraId="55D13356" w14:textId="11953453" w:rsidR="002E7B1D" w:rsidRPr="002E7B1D" w:rsidRDefault="002E7B1D">
            <w:pPr>
              <w:autoSpaceDE w:val="0"/>
              <w:autoSpaceDN w:val="0"/>
              <w:adjustRightInd w:val="0"/>
              <w:spacing w:after="0" w:line="240" w:lineRule="auto"/>
              <w:rPr>
                <w:rFonts w:cstheme="minorHAnsi"/>
                <w:b/>
                <w:color w:val="000000"/>
              </w:rPr>
            </w:pPr>
            <w:r w:rsidRPr="002E7B1D">
              <w:rPr>
                <w:rFonts w:cstheme="minorHAnsi"/>
                <w:b/>
                <w:color w:val="000000"/>
              </w:rPr>
              <w:t>stratum</w:t>
            </w:r>
          </w:p>
        </w:tc>
        <w:tc>
          <w:tcPr>
            <w:tcW w:w="979" w:type="pct"/>
          </w:tcPr>
          <w:p w14:paraId="55AB56AA" w14:textId="77777777" w:rsidR="002E7B1D" w:rsidRPr="002E7B1D" w:rsidRDefault="002E7B1D">
            <w:pPr>
              <w:autoSpaceDE w:val="0"/>
              <w:autoSpaceDN w:val="0"/>
              <w:adjustRightInd w:val="0"/>
              <w:spacing w:after="0" w:line="240" w:lineRule="auto"/>
              <w:rPr>
                <w:rFonts w:cstheme="minorHAnsi"/>
                <w:b/>
                <w:color w:val="000000"/>
              </w:rPr>
            </w:pPr>
            <w:r w:rsidRPr="002E7B1D">
              <w:rPr>
                <w:rFonts w:cstheme="minorHAnsi"/>
                <w:b/>
                <w:color w:val="000000"/>
              </w:rPr>
              <w:t>CN</w:t>
            </w:r>
          </w:p>
        </w:tc>
        <w:tc>
          <w:tcPr>
            <w:tcW w:w="835" w:type="pct"/>
          </w:tcPr>
          <w:p w14:paraId="29288B3B" w14:textId="77777777" w:rsidR="002E7B1D" w:rsidRPr="002E7B1D" w:rsidRDefault="002E7B1D">
            <w:pPr>
              <w:autoSpaceDE w:val="0"/>
              <w:autoSpaceDN w:val="0"/>
              <w:adjustRightInd w:val="0"/>
              <w:spacing w:after="0" w:line="240" w:lineRule="auto"/>
              <w:rPr>
                <w:rFonts w:cstheme="minorHAnsi"/>
                <w:b/>
                <w:color w:val="000000"/>
              </w:rPr>
            </w:pPr>
            <w:r w:rsidRPr="002E7B1D">
              <w:rPr>
                <w:rFonts w:cstheme="minorHAnsi"/>
                <w:b/>
                <w:color w:val="000000"/>
              </w:rPr>
              <w:t>CS</w:t>
            </w:r>
          </w:p>
        </w:tc>
        <w:tc>
          <w:tcPr>
            <w:tcW w:w="784" w:type="pct"/>
          </w:tcPr>
          <w:p w14:paraId="13721740" w14:textId="77777777" w:rsidR="002E7B1D" w:rsidRPr="002E7B1D" w:rsidRDefault="002E7B1D">
            <w:pPr>
              <w:autoSpaceDE w:val="0"/>
              <w:autoSpaceDN w:val="0"/>
              <w:adjustRightInd w:val="0"/>
              <w:spacing w:after="0" w:line="240" w:lineRule="auto"/>
              <w:rPr>
                <w:rFonts w:cstheme="minorHAnsi"/>
                <w:b/>
                <w:color w:val="000000"/>
              </w:rPr>
            </w:pPr>
            <w:r w:rsidRPr="002E7B1D">
              <w:rPr>
                <w:rFonts w:cstheme="minorHAnsi"/>
                <w:b/>
                <w:color w:val="000000"/>
              </w:rPr>
              <w:t>HR_HW</w:t>
            </w:r>
          </w:p>
        </w:tc>
        <w:tc>
          <w:tcPr>
            <w:tcW w:w="783" w:type="pct"/>
          </w:tcPr>
          <w:p w14:paraId="1AF2AA4D" w14:textId="77777777" w:rsidR="002E7B1D" w:rsidRPr="002E7B1D" w:rsidRDefault="002E7B1D">
            <w:pPr>
              <w:autoSpaceDE w:val="0"/>
              <w:autoSpaceDN w:val="0"/>
              <w:adjustRightInd w:val="0"/>
              <w:spacing w:after="0" w:line="240" w:lineRule="auto"/>
              <w:rPr>
                <w:rFonts w:cstheme="minorHAnsi"/>
                <w:b/>
                <w:color w:val="000000"/>
              </w:rPr>
            </w:pPr>
            <w:r w:rsidRPr="002E7B1D">
              <w:rPr>
                <w:rFonts w:cstheme="minorHAnsi"/>
                <w:b/>
                <w:color w:val="000000"/>
              </w:rPr>
              <w:t>HR_PI</w:t>
            </w:r>
          </w:p>
        </w:tc>
        <w:tc>
          <w:tcPr>
            <w:tcW w:w="835" w:type="pct"/>
          </w:tcPr>
          <w:p w14:paraId="6A7BFA5A" w14:textId="77777777" w:rsidR="002E7B1D" w:rsidRPr="002E7B1D" w:rsidRDefault="002E7B1D">
            <w:pPr>
              <w:autoSpaceDE w:val="0"/>
              <w:autoSpaceDN w:val="0"/>
              <w:adjustRightInd w:val="0"/>
              <w:spacing w:after="0" w:line="240" w:lineRule="auto"/>
              <w:rPr>
                <w:rFonts w:cstheme="minorHAnsi"/>
                <w:b/>
                <w:color w:val="000000"/>
              </w:rPr>
            </w:pPr>
            <w:r w:rsidRPr="002E7B1D">
              <w:rPr>
                <w:rFonts w:cstheme="minorHAnsi"/>
                <w:b/>
                <w:color w:val="000000"/>
              </w:rPr>
              <w:t>OR</w:t>
            </w:r>
          </w:p>
        </w:tc>
      </w:tr>
      <w:tr w:rsidR="0069396C" w:rsidRPr="002E7B1D" w14:paraId="48DD697F" w14:textId="77777777" w:rsidTr="00457C20">
        <w:trPr>
          <w:trHeight w:val="290"/>
        </w:trPr>
        <w:tc>
          <w:tcPr>
            <w:tcW w:w="783" w:type="pct"/>
          </w:tcPr>
          <w:p w14:paraId="07E0E49B" w14:textId="77777777" w:rsidR="0069396C" w:rsidRPr="002E7B1D" w:rsidRDefault="0069396C" w:rsidP="0069396C">
            <w:pPr>
              <w:autoSpaceDE w:val="0"/>
              <w:autoSpaceDN w:val="0"/>
              <w:adjustRightInd w:val="0"/>
              <w:spacing w:after="0" w:line="240" w:lineRule="auto"/>
              <w:jc w:val="right"/>
              <w:rPr>
                <w:rFonts w:cstheme="minorHAnsi"/>
                <w:color w:val="000000"/>
              </w:rPr>
            </w:pPr>
            <w:r w:rsidRPr="002E7B1D">
              <w:rPr>
                <w:rFonts w:cstheme="minorHAnsi"/>
                <w:color w:val="000000"/>
              </w:rPr>
              <w:t>mean tCO2/ac</w:t>
            </w:r>
          </w:p>
        </w:tc>
        <w:tc>
          <w:tcPr>
            <w:tcW w:w="979" w:type="pct"/>
            <w:vAlign w:val="bottom"/>
          </w:tcPr>
          <w:p w14:paraId="59AEC30F" w14:textId="16F696FA" w:rsidR="0069396C" w:rsidRPr="002E7B1D" w:rsidRDefault="0069396C" w:rsidP="0069396C">
            <w:pPr>
              <w:autoSpaceDE w:val="0"/>
              <w:autoSpaceDN w:val="0"/>
              <w:adjustRightInd w:val="0"/>
              <w:spacing w:after="0" w:line="240" w:lineRule="auto"/>
              <w:jc w:val="center"/>
              <w:rPr>
                <w:rFonts w:cstheme="minorHAnsi"/>
                <w:color w:val="000000"/>
              </w:rPr>
            </w:pPr>
            <w:r>
              <w:rPr>
                <w:rFonts w:ascii="Calibri" w:hAnsi="Calibri" w:cs="Calibri"/>
                <w:color w:val="000000"/>
              </w:rPr>
              <w:t>5.1</w:t>
            </w:r>
          </w:p>
        </w:tc>
        <w:tc>
          <w:tcPr>
            <w:tcW w:w="835" w:type="pct"/>
            <w:vAlign w:val="bottom"/>
          </w:tcPr>
          <w:p w14:paraId="207DEB7F" w14:textId="0D0AC54C"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4.4</w:t>
            </w:r>
          </w:p>
        </w:tc>
        <w:tc>
          <w:tcPr>
            <w:tcW w:w="784" w:type="pct"/>
            <w:vAlign w:val="bottom"/>
          </w:tcPr>
          <w:p w14:paraId="19C020D6" w14:textId="713FAB3B"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1.0</w:t>
            </w:r>
          </w:p>
        </w:tc>
        <w:tc>
          <w:tcPr>
            <w:tcW w:w="783" w:type="pct"/>
            <w:vAlign w:val="bottom"/>
          </w:tcPr>
          <w:p w14:paraId="7AB85FF8" w14:textId="3298E03C"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1.66075</w:t>
            </w:r>
          </w:p>
        </w:tc>
        <w:tc>
          <w:tcPr>
            <w:tcW w:w="835" w:type="pct"/>
            <w:vAlign w:val="bottom"/>
          </w:tcPr>
          <w:p w14:paraId="0E46B012" w14:textId="2DDF238E"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1.4</w:t>
            </w:r>
          </w:p>
        </w:tc>
      </w:tr>
      <w:tr w:rsidR="0069396C" w:rsidRPr="002E7B1D" w14:paraId="0A2FEF1D" w14:textId="77777777" w:rsidTr="00457C20">
        <w:trPr>
          <w:trHeight w:val="290"/>
        </w:trPr>
        <w:tc>
          <w:tcPr>
            <w:tcW w:w="783" w:type="pct"/>
          </w:tcPr>
          <w:p w14:paraId="7125077F" w14:textId="77777777" w:rsidR="0069396C" w:rsidRPr="002E7B1D" w:rsidRDefault="0069396C" w:rsidP="0069396C">
            <w:pPr>
              <w:autoSpaceDE w:val="0"/>
              <w:autoSpaceDN w:val="0"/>
              <w:adjustRightInd w:val="0"/>
              <w:spacing w:after="0" w:line="240" w:lineRule="auto"/>
              <w:jc w:val="right"/>
              <w:rPr>
                <w:rFonts w:cstheme="minorHAnsi"/>
                <w:color w:val="000000"/>
              </w:rPr>
            </w:pPr>
            <w:r w:rsidRPr="002E7B1D">
              <w:rPr>
                <w:rFonts w:cstheme="minorHAnsi"/>
                <w:color w:val="000000"/>
              </w:rPr>
              <w:t>variance</w:t>
            </w:r>
          </w:p>
        </w:tc>
        <w:tc>
          <w:tcPr>
            <w:tcW w:w="979" w:type="pct"/>
            <w:vAlign w:val="bottom"/>
          </w:tcPr>
          <w:p w14:paraId="349D9597" w14:textId="6610B828" w:rsidR="0069396C" w:rsidRPr="002E7B1D" w:rsidRDefault="0069396C" w:rsidP="0069396C">
            <w:pPr>
              <w:autoSpaceDE w:val="0"/>
              <w:autoSpaceDN w:val="0"/>
              <w:adjustRightInd w:val="0"/>
              <w:spacing w:after="0" w:line="240" w:lineRule="auto"/>
              <w:jc w:val="center"/>
              <w:rPr>
                <w:rFonts w:cstheme="minorHAnsi"/>
                <w:color w:val="000000"/>
              </w:rPr>
            </w:pPr>
            <w:r>
              <w:rPr>
                <w:rFonts w:ascii="Calibri" w:hAnsi="Calibri" w:cs="Calibri"/>
                <w:color w:val="000000"/>
              </w:rPr>
              <w:t>122.0</w:t>
            </w:r>
          </w:p>
        </w:tc>
        <w:tc>
          <w:tcPr>
            <w:tcW w:w="835" w:type="pct"/>
            <w:vAlign w:val="bottom"/>
          </w:tcPr>
          <w:p w14:paraId="1C807E7A" w14:textId="2A75B372"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64.6</w:t>
            </w:r>
          </w:p>
        </w:tc>
        <w:tc>
          <w:tcPr>
            <w:tcW w:w="784" w:type="pct"/>
            <w:vAlign w:val="bottom"/>
          </w:tcPr>
          <w:p w14:paraId="0880BFC7" w14:textId="0071D8E3"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3.5</w:t>
            </w:r>
          </w:p>
        </w:tc>
        <w:tc>
          <w:tcPr>
            <w:tcW w:w="783" w:type="pct"/>
            <w:vAlign w:val="bottom"/>
          </w:tcPr>
          <w:p w14:paraId="4E49E446" w14:textId="2A9A1FFC"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9.8</w:t>
            </w:r>
          </w:p>
        </w:tc>
        <w:tc>
          <w:tcPr>
            <w:tcW w:w="835" w:type="pct"/>
            <w:vAlign w:val="bottom"/>
          </w:tcPr>
          <w:p w14:paraId="03C72700" w14:textId="75C9BDC4"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7.1</w:t>
            </w:r>
          </w:p>
        </w:tc>
      </w:tr>
      <w:tr w:rsidR="0069396C" w:rsidRPr="002E7B1D" w14:paraId="5AC0BF95" w14:textId="77777777" w:rsidTr="00457C20">
        <w:trPr>
          <w:trHeight w:val="290"/>
        </w:trPr>
        <w:tc>
          <w:tcPr>
            <w:tcW w:w="783" w:type="pct"/>
          </w:tcPr>
          <w:p w14:paraId="6BF4E348" w14:textId="77777777" w:rsidR="0069396C" w:rsidRPr="002E7B1D" w:rsidRDefault="0069396C" w:rsidP="0069396C">
            <w:pPr>
              <w:autoSpaceDE w:val="0"/>
              <w:autoSpaceDN w:val="0"/>
              <w:adjustRightInd w:val="0"/>
              <w:spacing w:after="0" w:line="240" w:lineRule="auto"/>
              <w:jc w:val="right"/>
              <w:rPr>
                <w:rFonts w:cstheme="minorHAnsi"/>
                <w:color w:val="000000"/>
              </w:rPr>
            </w:pPr>
            <w:r w:rsidRPr="002E7B1D">
              <w:rPr>
                <w:rFonts w:cstheme="minorHAnsi"/>
                <w:color w:val="000000"/>
              </w:rPr>
              <w:t>stan dev</w:t>
            </w:r>
          </w:p>
        </w:tc>
        <w:tc>
          <w:tcPr>
            <w:tcW w:w="979" w:type="pct"/>
            <w:vAlign w:val="bottom"/>
          </w:tcPr>
          <w:p w14:paraId="2CC02064" w14:textId="3381F44E" w:rsidR="0069396C" w:rsidRPr="002E7B1D" w:rsidRDefault="0069396C" w:rsidP="0069396C">
            <w:pPr>
              <w:autoSpaceDE w:val="0"/>
              <w:autoSpaceDN w:val="0"/>
              <w:adjustRightInd w:val="0"/>
              <w:spacing w:after="0" w:line="240" w:lineRule="auto"/>
              <w:jc w:val="center"/>
              <w:rPr>
                <w:rFonts w:cstheme="minorHAnsi"/>
                <w:color w:val="000000"/>
              </w:rPr>
            </w:pPr>
            <w:r>
              <w:rPr>
                <w:rFonts w:ascii="Calibri" w:hAnsi="Calibri" w:cs="Calibri"/>
                <w:color w:val="000000"/>
              </w:rPr>
              <w:t>11.0</w:t>
            </w:r>
          </w:p>
        </w:tc>
        <w:tc>
          <w:tcPr>
            <w:tcW w:w="835" w:type="pct"/>
            <w:vAlign w:val="bottom"/>
          </w:tcPr>
          <w:p w14:paraId="61A77112" w14:textId="1B862603"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8.0</w:t>
            </w:r>
          </w:p>
        </w:tc>
        <w:tc>
          <w:tcPr>
            <w:tcW w:w="784" w:type="pct"/>
            <w:vAlign w:val="bottom"/>
          </w:tcPr>
          <w:p w14:paraId="6FA9AA16" w14:textId="046CF41F"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1.9</w:t>
            </w:r>
          </w:p>
        </w:tc>
        <w:tc>
          <w:tcPr>
            <w:tcW w:w="783" w:type="pct"/>
            <w:vAlign w:val="bottom"/>
          </w:tcPr>
          <w:p w14:paraId="5AEEF312" w14:textId="62DDF11F"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3.1</w:t>
            </w:r>
          </w:p>
        </w:tc>
        <w:tc>
          <w:tcPr>
            <w:tcW w:w="835" w:type="pct"/>
            <w:vAlign w:val="bottom"/>
          </w:tcPr>
          <w:p w14:paraId="1BEFD4BB" w14:textId="77782460"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2.7</w:t>
            </w:r>
          </w:p>
        </w:tc>
      </w:tr>
      <w:tr w:rsidR="0069396C" w:rsidRPr="002E7B1D" w14:paraId="4C79B4CA" w14:textId="77777777" w:rsidTr="00457C20">
        <w:trPr>
          <w:trHeight w:val="290"/>
        </w:trPr>
        <w:tc>
          <w:tcPr>
            <w:tcW w:w="783" w:type="pct"/>
          </w:tcPr>
          <w:p w14:paraId="2F829311" w14:textId="77777777" w:rsidR="0069396C" w:rsidRPr="002E7B1D" w:rsidRDefault="0069396C" w:rsidP="0069396C">
            <w:pPr>
              <w:autoSpaceDE w:val="0"/>
              <w:autoSpaceDN w:val="0"/>
              <w:adjustRightInd w:val="0"/>
              <w:spacing w:after="0" w:line="240" w:lineRule="auto"/>
              <w:jc w:val="right"/>
              <w:rPr>
                <w:rFonts w:cstheme="minorHAnsi"/>
                <w:color w:val="000000"/>
              </w:rPr>
            </w:pPr>
            <w:r w:rsidRPr="002E7B1D">
              <w:rPr>
                <w:rFonts w:cstheme="minorHAnsi"/>
                <w:color w:val="000000"/>
              </w:rPr>
              <w:t>CV(%)</w:t>
            </w:r>
          </w:p>
        </w:tc>
        <w:tc>
          <w:tcPr>
            <w:tcW w:w="979" w:type="pct"/>
            <w:vAlign w:val="bottom"/>
          </w:tcPr>
          <w:p w14:paraId="3F50C825" w14:textId="5E894403" w:rsidR="0069396C" w:rsidRPr="002E7B1D" w:rsidRDefault="0069396C" w:rsidP="0069396C">
            <w:pPr>
              <w:autoSpaceDE w:val="0"/>
              <w:autoSpaceDN w:val="0"/>
              <w:adjustRightInd w:val="0"/>
              <w:spacing w:after="0" w:line="240" w:lineRule="auto"/>
              <w:jc w:val="center"/>
              <w:rPr>
                <w:rFonts w:cstheme="minorHAnsi"/>
                <w:color w:val="000000"/>
              </w:rPr>
            </w:pPr>
            <w:r>
              <w:rPr>
                <w:rFonts w:ascii="Calibri" w:hAnsi="Calibri" w:cs="Calibri"/>
                <w:color w:val="000000"/>
              </w:rPr>
              <w:t>2.2</w:t>
            </w:r>
          </w:p>
        </w:tc>
        <w:tc>
          <w:tcPr>
            <w:tcW w:w="835" w:type="pct"/>
            <w:vAlign w:val="bottom"/>
          </w:tcPr>
          <w:p w14:paraId="191B0C89" w14:textId="5303098B" w:rsidR="0069396C" w:rsidRPr="002E7B1D" w:rsidRDefault="0069396C" w:rsidP="0069396C">
            <w:pPr>
              <w:autoSpaceDE w:val="0"/>
              <w:autoSpaceDN w:val="0"/>
              <w:adjustRightInd w:val="0"/>
              <w:spacing w:after="0" w:line="240" w:lineRule="auto"/>
              <w:jc w:val="center"/>
              <w:rPr>
                <w:rFonts w:cstheme="minorHAnsi"/>
                <w:color w:val="000000"/>
              </w:rPr>
            </w:pPr>
            <w:r>
              <w:rPr>
                <w:rFonts w:ascii="Calibri" w:hAnsi="Calibri" w:cs="Calibri"/>
              </w:rPr>
              <w:t>181%</w:t>
            </w:r>
          </w:p>
        </w:tc>
        <w:tc>
          <w:tcPr>
            <w:tcW w:w="784" w:type="pct"/>
            <w:vAlign w:val="bottom"/>
          </w:tcPr>
          <w:p w14:paraId="3DBC961F" w14:textId="36920D43" w:rsidR="0069396C" w:rsidRPr="002E7B1D" w:rsidRDefault="0069396C" w:rsidP="0069396C">
            <w:pPr>
              <w:autoSpaceDE w:val="0"/>
              <w:autoSpaceDN w:val="0"/>
              <w:adjustRightInd w:val="0"/>
              <w:spacing w:after="0" w:line="240" w:lineRule="auto"/>
              <w:jc w:val="center"/>
              <w:rPr>
                <w:rFonts w:cstheme="minorHAnsi"/>
                <w:color w:val="000000"/>
              </w:rPr>
            </w:pPr>
            <w:r>
              <w:rPr>
                <w:rFonts w:ascii="Calibri" w:hAnsi="Calibri" w:cs="Calibri"/>
              </w:rPr>
              <w:t>179%</w:t>
            </w:r>
          </w:p>
        </w:tc>
        <w:tc>
          <w:tcPr>
            <w:tcW w:w="783" w:type="pct"/>
            <w:vAlign w:val="bottom"/>
          </w:tcPr>
          <w:p w14:paraId="06D7FF81" w14:textId="1C138F2B" w:rsidR="0069396C" w:rsidRPr="002E7B1D" w:rsidRDefault="0069396C" w:rsidP="0069396C">
            <w:pPr>
              <w:autoSpaceDE w:val="0"/>
              <w:autoSpaceDN w:val="0"/>
              <w:adjustRightInd w:val="0"/>
              <w:spacing w:after="0" w:line="240" w:lineRule="auto"/>
              <w:jc w:val="center"/>
              <w:rPr>
                <w:rFonts w:cstheme="minorHAnsi"/>
                <w:color w:val="000000"/>
              </w:rPr>
            </w:pPr>
            <w:r>
              <w:rPr>
                <w:rFonts w:ascii="Calibri" w:hAnsi="Calibri" w:cs="Calibri"/>
              </w:rPr>
              <w:t>189%</w:t>
            </w:r>
          </w:p>
        </w:tc>
        <w:tc>
          <w:tcPr>
            <w:tcW w:w="835" w:type="pct"/>
            <w:vAlign w:val="bottom"/>
          </w:tcPr>
          <w:p w14:paraId="27719BFB" w14:textId="35683791" w:rsidR="0069396C" w:rsidRPr="002E7B1D" w:rsidRDefault="0069396C" w:rsidP="0069396C">
            <w:pPr>
              <w:autoSpaceDE w:val="0"/>
              <w:autoSpaceDN w:val="0"/>
              <w:adjustRightInd w:val="0"/>
              <w:spacing w:after="0" w:line="240" w:lineRule="auto"/>
              <w:jc w:val="center"/>
              <w:rPr>
                <w:rFonts w:cstheme="minorHAnsi"/>
                <w:color w:val="000000"/>
              </w:rPr>
            </w:pPr>
            <w:r>
              <w:rPr>
                <w:rFonts w:ascii="Calibri" w:hAnsi="Calibri" w:cs="Calibri"/>
              </w:rPr>
              <w:t>187%</w:t>
            </w:r>
          </w:p>
        </w:tc>
      </w:tr>
      <w:tr w:rsidR="0069396C" w:rsidRPr="002E7B1D" w14:paraId="2024749C" w14:textId="77777777" w:rsidTr="00457C20">
        <w:trPr>
          <w:trHeight w:val="290"/>
        </w:trPr>
        <w:tc>
          <w:tcPr>
            <w:tcW w:w="783" w:type="pct"/>
          </w:tcPr>
          <w:p w14:paraId="74198398" w14:textId="77777777" w:rsidR="0069396C" w:rsidRPr="002E7B1D" w:rsidRDefault="0069396C" w:rsidP="0069396C">
            <w:pPr>
              <w:autoSpaceDE w:val="0"/>
              <w:autoSpaceDN w:val="0"/>
              <w:adjustRightInd w:val="0"/>
              <w:spacing w:after="0" w:line="240" w:lineRule="auto"/>
              <w:jc w:val="right"/>
              <w:rPr>
                <w:rFonts w:cstheme="minorHAnsi"/>
                <w:color w:val="000000"/>
              </w:rPr>
            </w:pPr>
            <w:r w:rsidRPr="002E7B1D">
              <w:rPr>
                <w:rFonts w:cstheme="minorHAnsi"/>
                <w:color w:val="000000"/>
              </w:rPr>
              <w:t>stan error</w:t>
            </w:r>
          </w:p>
        </w:tc>
        <w:tc>
          <w:tcPr>
            <w:tcW w:w="979" w:type="pct"/>
            <w:vAlign w:val="bottom"/>
          </w:tcPr>
          <w:p w14:paraId="11DA52BC" w14:textId="0186A796" w:rsidR="0069396C" w:rsidRPr="002E7B1D" w:rsidRDefault="0069396C" w:rsidP="0069396C">
            <w:pPr>
              <w:autoSpaceDE w:val="0"/>
              <w:autoSpaceDN w:val="0"/>
              <w:adjustRightInd w:val="0"/>
              <w:spacing w:after="0" w:line="240" w:lineRule="auto"/>
              <w:jc w:val="center"/>
              <w:rPr>
                <w:rFonts w:cstheme="minorHAnsi"/>
                <w:color w:val="000000"/>
              </w:rPr>
            </w:pPr>
            <w:r>
              <w:rPr>
                <w:rFonts w:ascii="Calibri" w:hAnsi="Calibri" w:cs="Calibri"/>
                <w:color w:val="000000"/>
              </w:rPr>
              <w:t>1.5</w:t>
            </w:r>
          </w:p>
        </w:tc>
        <w:tc>
          <w:tcPr>
            <w:tcW w:w="835" w:type="pct"/>
            <w:vAlign w:val="bottom"/>
          </w:tcPr>
          <w:p w14:paraId="7FA4BB27" w14:textId="25D7D154"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1.3</w:t>
            </w:r>
          </w:p>
        </w:tc>
        <w:tc>
          <w:tcPr>
            <w:tcW w:w="784" w:type="pct"/>
            <w:vAlign w:val="bottom"/>
          </w:tcPr>
          <w:p w14:paraId="6DACC498" w14:textId="638640F5"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0.7</w:t>
            </w:r>
          </w:p>
        </w:tc>
        <w:tc>
          <w:tcPr>
            <w:tcW w:w="783" w:type="pct"/>
            <w:vAlign w:val="bottom"/>
          </w:tcPr>
          <w:p w14:paraId="17FEFE1F" w14:textId="3076DA3F"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1.0</w:t>
            </w:r>
          </w:p>
        </w:tc>
        <w:tc>
          <w:tcPr>
            <w:tcW w:w="835" w:type="pct"/>
            <w:vAlign w:val="bottom"/>
          </w:tcPr>
          <w:p w14:paraId="2C67AB54" w14:textId="5A9F7FF2"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0.5</w:t>
            </w:r>
          </w:p>
        </w:tc>
      </w:tr>
      <w:tr w:rsidR="0069396C" w:rsidRPr="002E7B1D" w14:paraId="58D3BF31" w14:textId="77777777" w:rsidTr="00457C20">
        <w:trPr>
          <w:trHeight w:val="290"/>
        </w:trPr>
        <w:tc>
          <w:tcPr>
            <w:tcW w:w="783" w:type="pct"/>
          </w:tcPr>
          <w:p w14:paraId="319A35E7" w14:textId="77777777" w:rsidR="0069396C" w:rsidRPr="002E7B1D" w:rsidRDefault="0069396C" w:rsidP="0069396C">
            <w:pPr>
              <w:autoSpaceDE w:val="0"/>
              <w:autoSpaceDN w:val="0"/>
              <w:adjustRightInd w:val="0"/>
              <w:spacing w:after="0" w:line="240" w:lineRule="auto"/>
              <w:jc w:val="right"/>
              <w:rPr>
                <w:rFonts w:cstheme="minorHAnsi"/>
                <w:color w:val="000000"/>
              </w:rPr>
            </w:pPr>
            <w:r w:rsidRPr="002E7B1D">
              <w:rPr>
                <w:rFonts w:cstheme="minorHAnsi"/>
                <w:color w:val="000000"/>
              </w:rPr>
              <w:t>90% CI</w:t>
            </w:r>
          </w:p>
        </w:tc>
        <w:tc>
          <w:tcPr>
            <w:tcW w:w="979" w:type="pct"/>
            <w:vAlign w:val="bottom"/>
          </w:tcPr>
          <w:p w14:paraId="04129F5C" w14:textId="72BC9635" w:rsidR="0069396C" w:rsidRPr="002E7B1D" w:rsidRDefault="0069396C" w:rsidP="0069396C">
            <w:pPr>
              <w:autoSpaceDE w:val="0"/>
              <w:autoSpaceDN w:val="0"/>
              <w:adjustRightInd w:val="0"/>
              <w:spacing w:after="0" w:line="240" w:lineRule="auto"/>
              <w:jc w:val="center"/>
              <w:rPr>
                <w:rFonts w:cstheme="minorHAnsi"/>
                <w:color w:val="000000"/>
              </w:rPr>
            </w:pPr>
            <w:r>
              <w:rPr>
                <w:rFonts w:ascii="Calibri" w:hAnsi="Calibri" w:cs="Calibri"/>
                <w:color w:val="000000"/>
              </w:rPr>
              <w:t>2.5</w:t>
            </w:r>
          </w:p>
        </w:tc>
        <w:tc>
          <w:tcPr>
            <w:tcW w:w="835" w:type="pct"/>
            <w:vAlign w:val="bottom"/>
          </w:tcPr>
          <w:p w14:paraId="597847FD" w14:textId="47DB73F4"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2.1</w:t>
            </w:r>
          </w:p>
        </w:tc>
        <w:tc>
          <w:tcPr>
            <w:tcW w:w="784" w:type="pct"/>
            <w:vAlign w:val="bottom"/>
          </w:tcPr>
          <w:p w14:paraId="766E9E42" w14:textId="48FC257E"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1.2</w:t>
            </w:r>
          </w:p>
        </w:tc>
        <w:tc>
          <w:tcPr>
            <w:tcW w:w="783" w:type="pct"/>
            <w:vAlign w:val="bottom"/>
          </w:tcPr>
          <w:p w14:paraId="0CBA32A8" w14:textId="0C37220D"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1.9</w:t>
            </w:r>
          </w:p>
        </w:tc>
        <w:tc>
          <w:tcPr>
            <w:tcW w:w="835" w:type="pct"/>
            <w:vAlign w:val="bottom"/>
          </w:tcPr>
          <w:p w14:paraId="5E360111" w14:textId="3A2206F1"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0.8</w:t>
            </w:r>
          </w:p>
        </w:tc>
      </w:tr>
      <w:tr w:rsidR="0069396C" w:rsidRPr="002E7B1D" w14:paraId="2E5DF5A8" w14:textId="77777777" w:rsidTr="00457C20">
        <w:trPr>
          <w:trHeight w:val="290"/>
        </w:trPr>
        <w:tc>
          <w:tcPr>
            <w:tcW w:w="783" w:type="pct"/>
          </w:tcPr>
          <w:p w14:paraId="4E5AA8B8" w14:textId="77777777" w:rsidR="0069396C" w:rsidRPr="002E7B1D" w:rsidRDefault="0069396C" w:rsidP="0069396C">
            <w:pPr>
              <w:autoSpaceDE w:val="0"/>
              <w:autoSpaceDN w:val="0"/>
              <w:adjustRightInd w:val="0"/>
              <w:spacing w:after="0" w:line="240" w:lineRule="auto"/>
              <w:jc w:val="right"/>
              <w:rPr>
                <w:rFonts w:cstheme="minorHAnsi"/>
                <w:color w:val="000000"/>
              </w:rPr>
            </w:pPr>
            <w:r w:rsidRPr="002E7B1D">
              <w:rPr>
                <w:rFonts w:cstheme="minorHAnsi"/>
                <w:color w:val="000000"/>
              </w:rPr>
              <w:t>n</w:t>
            </w:r>
          </w:p>
        </w:tc>
        <w:tc>
          <w:tcPr>
            <w:tcW w:w="979" w:type="pct"/>
            <w:vAlign w:val="bottom"/>
          </w:tcPr>
          <w:p w14:paraId="07078698" w14:textId="7E7A9613" w:rsidR="0069396C" w:rsidRPr="002E7B1D" w:rsidRDefault="0069396C" w:rsidP="0069396C">
            <w:pPr>
              <w:autoSpaceDE w:val="0"/>
              <w:autoSpaceDN w:val="0"/>
              <w:adjustRightInd w:val="0"/>
              <w:spacing w:after="0" w:line="240" w:lineRule="auto"/>
              <w:jc w:val="center"/>
              <w:rPr>
                <w:rFonts w:cstheme="minorHAnsi"/>
                <w:color w:val="000000"/>
              </w:rPr>
            </w:pPr>
            <w:r>
              <w:rPr>
                <w:rFonts w:ascii="Calibri" w:hAnsi="Calibri" w:cs="Calibri"/>
                <w:color w:val="000000"/>
              </w:rPr>
              <w:t>56</w:t>
            </w:r>
          </w:p>
        </w:tc>
        <w:tc>
          <w:tcPr>
            <w:tcW w:w="835" w:type="pct"/>
            <w:vAlign w:val="bottom"/>
          </w:tcPr>
          <w:p w14:paraId="46C33056" w14:textId="3FDC46D8"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41</w:t>
            </w:r>
          </w:p>
        </w:tc>
        <w:tc>
          <w:tcPr>
            <w:tcW w:w="784" w:type="pct"/>
            <w:vAlign w:val="bottom"/>
          </w:tcPr>
          <w:p w14:paraId="49223925" w14:textId="0096B4B3"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8</w:t>
            </w:r>
          </w:p>
        </w:tc>
        <w:tc>
          <w:tcPr>
            <w:tcW w:w="783" w:type="pct"/>
            <w:vAlign w:val="bottom"/>
          </w:tcPr>
          <w:p w14:paraId="40F71B7B" w14:textId="309EDD8B"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9</w:t>
            </w:r>
          </w:p>
        </w:tc>
        <w:tc>
          <w:tcPr>
            <w:tcW w:w="835" w:type="pct"/>
            <w:vAlign w:val="bottom"/>
          </w:tcPr>
          <w:p w14:paraId="62E60BC2" w14:textId="59A5DEE9" w:rsidR="0069396C" w:rsidRPr="002E7B1D" w:rsidRDefault="0069396C" w:rsidP="0069396C">
            <w:pPr>
              <w:autoSpaceDE w:val="0"/>
              <w:autoSpaceDN w:val="0"/>
              <w:adjustRightInd w:val="0"/>
              <w:spacing w:after="0" w:line="240" w:lineRule="auto"/>
              <w:jc w:val="center"/>
              <w:rPr>
                <w:rFonts w:cstheme="minorHAnsi"/>
                <w:color w:val="000000"/>
              </w:rPr>
            </w:pPr>
            <w:r>
              <w:rPr>
                <w:rFonts w:ascii="Arial" w:hAnsi="Arial" w:cs="Arial"/>
              </w:rPr>
              <w:t>29</w:t>
            </w:r>
          </w:p>
        </w:tc>
      </w:tr>
      <w:tr w:rsidR="0069396C" w:rsidRPr="002E7B1D" w14:paraId="3B35C871" w14:textId="77777777" w:rsidTr="00457C20">
        <w:trPr>
          <w:trHeight w:val="290"/>
        </w:trPr>
        <w:tc>
          <w:tcPr>
            <w:tcW w:w="783" w:type="pct"/>
          </w:tcPr>
          <w:p w14:paraId="65A60240" w14:textId="3DF13380" w:rsidR="0069396C" w:rsidRPr="002E7B1D" w:rsidRDefault="0069396C" w:rsidP="0069396C">
            <w:pPr>
              <w:autoSpaceDE w:val="0"/>
              <w:autoSpaceDN w:val="0"/>
              <w:adjustRightInd w:val="0"/>
              <w:spacing w:after="0" w:line="240" w:lineRule="auto"/>
              <w:jc w:val="right"/>
              <w:rPr>
                <w:rFonts w:cstheme="minorHAnsi"/>
                <w:color w:val="000000"/>
              </w:rPr>
            </w:pPr>
            <w:r w:rsidRPr="002E7B1D">
              <w:rPr>
                <w:rFonts w:cstheme="minorHAnsi"/>
                <w:color w:val="000000"/>
              </w:rPr>
              <w:t>ac</w:t>
            </w:r>
            <w:r>
              <w:rPr>
                <w:rFonts w:cstheme="minorHAnsi"/>
                <w:color w:val="000000"/>
              </w:rPr>
              <w:t>res</w:t>
            </w:r>
          </w:p>
        </w:tc>
        <w:tc>
          <w:tcPr>
            <w:tcW w:w="979" w:type="pct"/>
            <w:vAlign w:val="bottom"/>
          </w:tcPr>
          <w:p w14:paraId="2CB13162" w14:textId="0F912C76" w:rsidR="0069396C" w:rsidRPr="002E7B1D" w:rsidRDefault="0069396C" w:rsidP="0069396C">
            <w:pPr>
              <w:autoSpaceDE w:val="0"/>
              <w:autoSpaceDN w:val="0"/>
              <w:adjustRightInd w:val="0"/>
              <w:spacing w:after="0" w:line="240" w:lineRule="auto"/>
              <w:jc w:val="right"/>
              <w:rPr>
                <w:rFonts w:cstheme="minorHAnsi"/>
                <w:color w:val="000000"/>
              </w:rPr>
            </w:pPr>
            <w:r>
              <w:rPr>
                <w:rFonts w:ascii="Calibri" w:hAnsi="Calibri" w:cs="Calibri"/>
                <w:color w:val="000000"/>
              </w:rPr>
              <w:t>4362.977</w:t>
            </w:r>
          </w:p>
        </w:tc>
        <w:tc>
          <w:tcPr>
            <w:tcW w:w="835" w:type="pct"/>
            <w:vAlign w:val="bottom"/>
          </w:tcPr>
          <w:p w14:paraId="24C0582A" w14:textId="4F6375CB" w:rsidR="0069396C" w:rsidRPr="002E7B1D" w:rsidRDefault="0069396C" w:rsidP="0069396C">
            <w:pPr>
              <w:autoSpaceDE w:val="0"/>
              <w:autoSpaceDN w:val="0"/>
              <w:adjustRightInd w:val="0"/>
              <w:spacing w:after="0" w:line="240" w:lineRule="auto"/>
              <w:jc w:val="right"/>
              <w:rPr>
                <w:rFonts w:cstheme="minorHAnsi"/>
                <w:color w:val="000000"/>
              </w:rPr>
            </w:pPr>
            <w:r>
              <w:rPr>
                <w:rFonts w:ascii="Arial" w:hAnsi="Arial" w:cs="Arial"/>
              </w:rPr>
              <w:t>3994.3</w:t>
            </w:r>
          </w:p>
        </w:tc>
        <w:tc>
          <w:tcPr>
            <w:tcW w:w="784" w:type="pct"/>
            <w:vAlign w:val="bottom"/>
          </w:tcPr>
          <w:p w14:paraId="02031BC1" w14:textId="35AADF2A" w:rsidR="0069396C" w:rsidRPr="002E7B1D" w:rsidRDefault="0069396C" w:rsidP="0069396C">
            <w:pPr>
              <w:autoSpaceDE w:val="0"/>
              <w:autoSpaceDN w:val="0"/>
              <w:adjustRightInd w:val="0"/>
              <w:spacing w:after="0" w:line="240" w:lineRule="auto"/>
              <w:jc w:val="right"/>
              <w:rPr>
                <w:rFonts w:cstheme="minorHAnsi"/>
                <w:color w:val="000000"/>
              </w:rPr>
            </w:pPr>
            <w:r>
              <w:rPr>
                <w:rFonts w:ascii="Arial" w:hAnsi="Arial" w:cs="Arial"/>
              </w:rPr>
              <w:t>505.5</w:t>
            </w:r>
          </w:p>
        </w:tc>
        <w:tc>
          <w:tcPr>
            <w:tcW w:w="783" w:type="pct"/>
            <w:vAlign w:val="bottom"/>
          </w:tcPr>
          <w:p w14:paraId="4C4C5C15" w14:textId="77400FBE" w:rsidR="0069396C" w:rsidRPr="002E7B1D" w:rsidRDefault="0069396C" w:rsidP="0069396C">
            <w:pPr>
              <w:autoSpaceDE w:val="0"/>
              <w:autoSpaceDN w:val="0"/>
              <w:adjustRightInd w:val="0"/>
              <w:spacing w:after="0" w:line="240" w:lineRule="auto"/>
              <w:jc w:val="right"/>
              <w:rPr>
                <w:rFonts w:cstheme="minorHAnsi"/>
                <w:color w:val="000000"/>
              </w:rPr>
            </w:pPr>
            <w:r>
              <w:rPr>
                <w:rFonts w:ascii="Arial" w:hAnsi="Arial" w:cs="Arial"/>
              </w:rPr>
              <w:t>254.3</w:t>
            </w:r>
          </w:p>
        </w:tc>
        <w:tc>
          <w:tcPr>
            <w:tcW w:w="835" w:type="pct"/>
            <w:vAlign w:val="bottom"/>
          </w:tcPr>
          <w:p w14:paraId="2875687A" w14:textId="6FA8E2C8" w:rsidR="0069396C" w:rsidRPr="002E7B1D" w:rsidRDefault="0069396C" w:rsidP="0069396C">
            <w:pPr>
              <w:autoSpaceDE w:val="0"/>
              <w:autoSpaceDN w:val="0"/>
              <w:adjustRightInd w:val="0"/>
              <w:spacing w:after="0" w:line="240" w:lineRule="auto"/>
              <w:jc w:val="right"/>
              <w:rPr>
                <w:rFonts w:cstheme="minorHAnsi"/>
                <w:color w:val="000000"/>
              </w:rPr>
            </w:pPr>
            <w:r>
              <w:rPr>
                <w:rFonts w:ascii="Arial" w:hAnsi="Arial" w:cs="Arial"/>
              </w:rPr>
              <w:t>2145.5</w:t>
            </w:r>
          </w:p>
        </w:tc>
      </w:tr>
      <w:tr w:rsidR="0069396C" w:rsidRPr="002E7B1D" w14:paraId="3A3A26D0" w14:textId="77777777" w:rsidTr="00457C20">
        <w:trPr>
          <w:trHeight w:val="290"/>
        </w:trPr>
        <w:tc>
          <w:tcPr>
            <w:tcW w:w="783" w:type="pct"/>
          </w:tcPr>
          <w:p w14:paraId="249AD991" w14:textId="77777777" w:rsidR="0069396C" w:rsidRPr="002E7B1D" w:rsidRDefault="0069396C" w:rsidP="0069396C">
            <w:pPr>
              <w:autoSpaceDE w:val="0"/>
              <w:autoSpaceDN w:val="0"/>
              <w:adjustRightInd w:val="0"/>
              <w:spacing w:after="0" w:line="240" w:lineRule="auto"/>
              <w:jc w:val="right"/>
              <w:rPr>
                <w:rFonts w:cstheme="minorHAnsi"/>
                <w:color w:val="000000"/>
              </w:rPr>
            </w:pPr>
            <w:r w:rsidRPr="002E7B1D">
              <w:rPr>
                <w:rFonts w:cstheme="minorHAnsi"/>
                <w:color w:val="000000"/>
              </w:rPr>
              <w:t>stan error</w:t>
            </w:r>
          </w:p>
        </w:tc>
        <w:tc>
          <w:tcPr>
            <w:tcW w:w="979" w:type="pct"/>
            <w:vAlign w:val="bottom"/>
          </w:tcPr>
          <w:p w14:paraId="639948FE" w14:textId="527D9A22" w:rsidR="0069396C" w:rsidRPr="002E7B1D" w:rsidRDefault="0069396C" w:rsidP="0069396C">
            <w:pPr>
              <w:autoSpaceDE w:val="0"/>
              <w:autoSpaceDN w:val="0"/>
              <w:adjustRightInd w:val="0"/>
              <w:spacing w:after="0" w:line="240" w:lineRule="auto"/>
              <w:jc w:val="right"/>
              <w:rPr>
                <w:rFonts w:cstheme="minorHAnsi"/>
                <w:color w:val="000000"/>
              </w:rPr>
            </w:pPr>
            <w:r>
              <w:rPr>
                <w:rFonts w:ascii="Calibri" w:hAnsi="Calibri" w:cs="Calibri"/>
                <w:color w:val="000000"/>
              </w:rPr>
              <w:t>0.7</w:t>
            </w:r>
          </w:p>
        </w:tc>
        <w:tc>
          <w:tcPr>
            <w:tcW w:w="835" w:type="pct"/>
          </w:tcPr>
          <w:p w14:paraId="0A9236C2" w14:textId="77777777" w:rsidR="0069396C" w:rsidRPr="002E7B1D" w:rsidRDefault="0069396C" w:rsidP="0069396C">
            <w:pPr>
              <w:autoSpaceDE w:val="0"/>
              <w:autoSpaceDN w:val="0"/>
              <w:adjustRightInd w:val="0"/>
              <w:spacing w:after="0" w:line="240" w:lineRule="auto"/>
              <w:jc w:val="right"/>
              <w:rPr>
                <w:rFonts w:cstheme="minorHAnsi"/>
                <w:color w:val="000000"/>
              </w:rPr>
            </w:pPr>
          </w:p>
        </w:tc>
        <w:tc>
          <w:tcPr>
            <w:tcW w:w="784" w:type="pct"/>
          </w:tcPr>
          <w:p w14:paraId="264B54F8" w14:textId="77777777" w:rsidR="0069396C" w:rsidRPr="002E7B1D" w:rsidRDefault="0069396C" w:rsidP="0069396C">
            <w:pPr>
              <w:autoSpaceDE w:val="0"/>
              <w:autoSpaceDN w:val="0"/>
              <w:adjustRightInd w:val="0"/>
              <w:spacing w:after="0" w:line="240" w:lineRule="auto"/>
              <w:jc w:val="right"/>
              <w:rPr>
                <w:rFonts w:cstheme="minorHAnsi"/>
                <w:color w:val="000000"/>
              </w:rPr>
            </w:pPr>
          </w:p>
        </w:tc>
        <w:tc>
          <w:tcPr>
            <w:tcW w:w="783" w:type="pct"/>
          </w:tcPr>
          <w:p w14:paraId="3307732E" w14:textId="77777777" w:rsidR="0069396C" w:rsidRPr="002E7B1D" w:rsidRDefault="0069396C" w:rsidP="0069396C">
            <w:pPr>
              <w:autoSpaceDE w:val="0"/>
              <w:autoSpaceDN w:val="0"/>
              <w:adjustRightInd w:val="0"/>
              <w:spacing w:after="0" w:line="240" w:lineRule="auto"/>
              <w:jc w:val="right"/>
              <w:rPr>
                <w:rFonts w:cstheme="minorHAnsi"/>
                <w:color w:val="000000"/>
              </w:rPr>
            </w:pPr>
          </w:p>
        </w:tc>
        <w:tc>
          <w:tcPr>
            <w:tcW w:w="835" w:type="pct"/>
          </w:tcPr>
          <w:p w14:paraId="3FDA7152" w14:textId="77777777" w:rsidR="0069396C" w:rsidRPr="002E7B1D" w:rsidRDefault="0069396C" w:rsidP="0069396C">
            <w:pPr>
              <w:autoSpaceDE w:val="0"/>
              <w:autoSpaceDN w:val="0"/>
              <w:adjustRightInd w:val="0"/>
              <w:spacing w:after="0" w:line="240" w:lineRule="auto"/>
              <w:jc w:val="right"/>
              <w:rPr>
                <w:rFonts w:cstheme="minorHAnsi"/>
                <w:color w:val="000000"/>
              </w:rPr>
            </w:pPr>
          </w:p>
        </w:tc>
      </w:tr>
      <w:tr w:rsidR="0069396C" w:rsidRPr="002E7B1D" w14:paraId="04A35920" w14:textId="77777777" w:rsidTr="00457C20">
        <w:trPr>
          <w:trHeight w:val="290"/>
        </w:trPr>
        <w:tc>
          <w:tcPr>
            <w:tcW w:w="783" w:type="pct"/>
          </w:tcPr>
          <w:p w14:paraId="63EFD31A" w14:textId="77777777" w:rsidR="0069396C" w:rsidRPr="002E7B1D" w:rsidRDefault="0069396C" w:rsidP="0069396C">
            <w:pPr>
              <w:autoSpaceDE w:val="0"/>
              <w:autoSpaceDN w:val="0"/>
              <w:adjustRightInd w:val="0"/>
              <w:spacing w:after="0" w:line="240" w:lineRule="auto"/>
              <w:jc w:val="right"/>
              <w:rPr>
                <w:rFonts w:cstheme="minorHAnsi"/>
                <w:color w:val="000000"/>
              </w:rPr>
            </w:pPr>
            <w:r w:rsidRPr="002E7B1D">
              <w:rPr>
                <w:rFonts w:cstheme="minorHAnsi"/>
                <w:color w:val="000000"/>
              </w:rPr>
              <w:t>mean</w:t>
            </w:r>
          </w:p>
        </w:tc>
        <w:tc>
          <w:tcPr>
            <w:tcW w:w="979" w:type="pct"/>
            <w:vAlign w:val="bottom"/>
          </w:tcPr>
          <w:p w14:paraId="0282689C" w14:textId="02F139A7" w:rsidR="0069396C" w:rsidRPr="002E7B1D" w:rsidRDefault="0069396C" w:rsidP="0069396C">
            <w:pPr>
              <w:autoSpaceDE w:val="0"/>
              <w:autoSpaceDN w:val="0"/>
              <w:adjustRightInd w:val="0"/>
              <w:spacing w:after="0" w:line="240" w:lineRule="auto"/>
              <w:jc w:val="right"/>
              <w:rPr>
                <w:rFonts w:cstheme="minorHAnsi"/>
                <w:color w:val="000000"/>
              </w:rPr>
            </w:pPr>
            <w:r>
              <w:rPr>
                <w:rFonts w:ascii="Calibri" w:hAnsi="Calibri" w:cs="Calibri"/>
                <w:color w:val="000000"/>
              </w:rPr>
              <w:t>3.915</w:t>
            </w:r>
          </w:p>
        </w:tc>
        <w:tc>
          <w:tcPr>
            <w:tcW w:w="835" w:type="pct"/>
          </w:tcPr>
          <w:p w14:paraId="5FF3EC2E" w14:textId="77777777" w:rsidR="0069396C" w:rsidRPr="002E7B1D" w:rsidRDefault="0069396C" w:rsidP="0069396C">
            <w:pPr>
              <w:autoSpaceDE w:val="0"/>
              <w:autoSpaceDN w:val="0"/>
              <w:adjustRightInd w:val="0"/>
              <w:spacing w:after="0" w:line="240" w:lineRule="auto"/>
              <w:jc w:val="right"/>
              <w:rPr>
                <w:rFonts w:cstheme="minorHAnsi"/>
                <w:color w:val="000000"/>
              </w:rPr>
            </w:pPr>
          </w:p>
        </w:tc>
        <w:tc>
          <w:tcPr>
            <w:tcW w:w="784" w:type="pct"/>
          </w:tcPr>
          <w:p w14:paraId="2BB893CE" w14:textId="77777777" w:rsidR="0069396C" w:rsidRPr="002E7B1D" w:rsidRDefault="0069396C" w:rsidP="0069396C">
            <w:pPr>
              <w:autoSpaceDE w:val="0"/>
              <w:autoSpaceDN w:val="0"/>
              <w:adjustRightInd w:val="0"/>
              <w:spacing w:after="0" w:line="240" w:lineRule="auto"/>
              <w:jc w:val="right"/>
              <w:rPr>
                <w:rFonts w:cstheme="minorHAnsi"/>
                <w:color w:val="000000"/>
              </w:rPr>
            </w:pPr>
          </w:p>
        </w:tc>
        <w:tc>
          <w:tcPr>
            <w:tcW w:w="783" w:type="pct"/>
          </w:tcPr>
          <w:p w14:paraId="630B1050" w14:textId="77777777" w:rsidR="0069396C" w:rsidRPr="002E7B1D" w:rsidRDefault="0069396C" w:rsidP="0069396C">
            <w:pPr>
              <w:autoSpaceDE w:val="0"/>
              <w:autoSpaceDN w:val="0"/>
              <w:adjustRightInd w:val="0"/>
              <w:spacing w:after="0" w:line="240" w:lineRule="auto"/>
              <w:jc w:val="right"/>
              <w:rPr>
                <w:rFonts w:cstheme="minorHAnsi"/>
                <w:color w:val="000000"/>
              </w:rPr>
            </w:pPr>
          </w:p>
        </w:tc>
        <w:tc>
          <w:tcPr>
            <w:tcW w:w="835" w:type="pct"/>
          </w:tcPr>
          <w:p w14:paraId="3A7DBC08" w14:textId="77777777" w:rsidR="0069396C" w:rsidRPr="002E7B1D" w:rsidRDefault="0069396C" w:rsidP="0069396C">
            <w:pPr>
              <w:autoSpaceDE w:val="0"/>
              <w:autoSpaceDN w:val="0"/>
              <w:adjustRightInd w:val="0"/>
              <w:spacing w:after="0" w:line="240" w:lineRule="auto"/>
              <w:jc w:val="right"/>
              <w:rPr>
                <w:rFonts w:cstheme="minorHAnsi"/>
                <w:color w:val="000000"/>
              </w:rPr>
            </w:pPr>
          </w:p>
        </w:tc>
      </w:tr>
      <w:tr w:rsidR="0069396C" w:rsidRPr="002E7B1D" w14:paraId="1187C6B1" w14:textId="77777777" w:rsidTr="00457C20">
        <w:trPr>
          <w:trHeight w:val="290"/>
        </w:trPr>
        <w:tc>
          <w:tcPr>
            <w:tcW w:w="783" w:type="pct"/>
          </w:tcPr>
          <w:p w14:paraId="099EC86A" w14:textId="77777777" w:rsidR="0069396C" w:rsidRPr="002E7B1D" w:rsidRDefault="0069396C" w:rsidP="0069396C">
            <w:pPr>
              <w:autoSpaceDE w:val="0"/>
              <w:autoSpaceDN w:val="0"/>
              <w:adjustRightInd w:val="0"/>
              <w:spacing w:after="0" w:line="240" w:lineRule="auto"/>
              <w:jc w:val="right"/>
              <w:rPr>
                <w:rFonts w:cstheme="minorHAnsi"/>
                <w:color w:val="000000"/>
              </w:rPr>
            </w:pPr>
            <w:r w:rsidRPr="002E7B1D">
              <w:rPr>
                <w:rFonts w:cstheme="minorHAnsi"/>
                <w:color w:val="000000"/>
              </w:rPr>
              <w:t>90% CI</w:t>
            </w:r>
          </w:p>
        </w:tc>
        <w:tc>
          <w:tcPr>
            <w:tcW w:w="979" w:type="pct"/>
            <w:vAlign w:val="bottom"/>
          </w:tcPr>
          <w:p w14:paraId="2B7B4F4B" w14:textId="0033C0BB" w:rsidR="0069396C" w:rsidRPr="002E7B1D" w:rsidRDefault="0069396C" w:rsidP="0069396C">
            <w:pPr>
              <w:autoSpaceDE w:val="0"/>
              <w:autoSpaceDN w:val="0"/>
              <w:adjustRightInd w:val="0"/>
              <w:spacing w:after="0" w:line="240" w:lineRule="auto"/>
              <w:jc w:val="right"/>
              <w:rPr>
                <w:rFonts w:cstheme="minorHAnsi"/>
                <w:color w:val="000000"/>
              </w:rPr>
            </w:pPr>
            <w:r>
              <w:rPr>
                <w:rFonts w:ascii="Calibri" w:hAnsi="Calibri" w:cs="Calibri"/>
                <w:color w:val="000000"/>
              </w:rPr>
              <w:t>1.2119</w:t>
            </w:r>
          </w:p>
        </w:tc>
        <w:tc>
          <w:tcPr>
            <w:tcW w:w="835" w:type="pct"/>
          </w:tcPr>
          <w:p w14:paraId="349DC058" w14:textId="2107F3F0" w:rsidR="0069396C" w:rsidRPr="002E7B1D" w:rsidRDefault="0069396C" w:rsidP="0069396C">
            <w:pPr>
              <w:autoSpaceDE w:val="0"/>
              <w:autoSpaceDN w:val="0"/>
              <w:adjustRightInd w:val="0"/>
              <w:spacing w:after="0" w:line="240" w:lineRule="auto"/>
              <w:jc w:val="right"/>
              <w:rPr>
                <w:rFonts w:cstheme="minorHAnsi"/>
                <w:color w:val="000000"/>
              </w:rPr>
            </w:pPr>
          </w:p>
        </w:tc>
        <w:tc>
          <w:tcPr>
            <w:tcW w:w="784" w:type="pct"/>
          </w:tcPr>
          <w:p w14:paraId="22E8D07A" w14:textId="77777777" w:rsidR="0069396C" w:rsidRPr="002E7B1D" w:rsidRDefault="0069396C" w:rsidP="0069396C">
            <w:pPr>
              <w:autoSpaceDE w:val="0"/>
              <w:autoSpaceDN w:val="0"/>
              <w:adjustRightInd w:val="0"/>
              <w:spacing w:after="0" w:line="240" w:lineRule="auto"/>
              <w:jc w:val="right"/>
              <w:rPr>
                <w:rFonts w:cstheme="minorHAnsi"/>
                <w:color w:val="000000"/>
              </w:rPr>
            </w:pPr>
          </w:p>
        </w:tc>
        <w:tc>
          <w:tcPr>
            <w:tcW w:w="783" w:type="pct"/>
          </w:tcPr>
          <w:p w14:paraId="5892B05C" w14:textId="77777777" w:rsidR="0069396C" w:rsidRPr="002E7B1D" w:rsidRDefault="0069396C" w:rsidP="0069396C">
            <w:pPr>
              <w:autoSpaceDE w:val="0"/>
              <w:autoSpaceDN w:val="0"/>
              <w:adjustRightInd w:val="0"/>
              <w:spacing w:after="0" w:line="240" w:lineRule="auto"/>
              <w:jc w:val="right"/>
              <w:rPr>
                <w:rFonts w:cstheme="minorHAnsi"/>
                <w:color w:val="000000"/>
              </w:rPr>
            </w:pPr>
          </w:p>
        </w:tc>
        <w:tc>
          <w:tcPr>
            <w:tcW w:w="835" w:type="pct"/>
          </w:tcPr>
          <w:p w14:paraId="0E84A3AC" w14:textId="77777777" w:rsidR="0069396C" w:rsidRPr="002E7B1D" w:rsidRDefault="0069396C" w:rsidP="0069396C">
            <w:pPr>
              <w:autoSpaceDE w:val="0"/>
              <w:autoSpaceDN w:val="0"/>
              <w:adjustRightInd w:val="0"/>
              <w:spacing w:after="0" w:line="240" w:lineRule="auto"/>
              <w:jc w:val="right"/>
              <w:rPr>
                <w:rFonts w:cstheme="minorHAnsi"/>
                <w:color w:val="000000"/>
              </w:rPr>
            </w:pPr>
          </w:p>
        </w:tc>
      </w:tr>
      <w:tr w:rsidR="0069396C" w:rsidRPr="002E7B1D" w14:paraId="126F7F5D" w14:textId="77777777" w:rsidTr="00457C20">
        <w:trPr>
          <w:trHeight w:val="290"/>
        </w:trPr>
        <w:tc>
          <w:tcPr>
            <w:tcW w:w="783" w:type="pct"/>
          </w:tcPr>
          <w:p w14:paraId="20DE3989" w14:textId="77777777" w:rsidR="0069396C" w:rsidRPr="002E7B1D" w:rsidRDefault="0069396C" w:rsidP="0069396C">
            <w:pPr>
              <w:autoSpaceDE w:val="0"/>
              <w:autoSpaceDN w:val="0"/>
              <w:adjustRightInd w:val="0"/>
              <w:spacing w:after="0" w:line="240" w:lineRule="auto"/>
              <w:jc w:val="right"/>
              <w:rPr>
                <w:rFonts w:cstheme="minorHAnsi"/>
                <w:color w:val="000000"/>
              </w:rPr>
            </w:pPr>
            <w:r w:rsidRPr="002E7B1D">
              <w:rPr>
                <w:rFonts w:cstheme="minorHAnsi"/>
                <w:color w:val="000000"/>
              </w:rPr>
              <w:t>90% CI as % of mean</w:t>
            </w:r>
          </w:p>
        </w:tc>
        <w:tc>
          <w:tcPr>
            <w:tcW w:w="979" w:type="pct"/>
            <w:vAlign w:val="bottom"/>
          </w:tcPr>
          <w:p w14:paraId="08521051" w14:textId="20A00FC1" w:rsidR="0069396C" w:rsidRPr="008D51B1" w:rsidRDefault="0069396C" w:rsidP="0069396C">
            <w:pPr>
              <w:autoSpaceDE w:val="0"/>
              <w:autoSpaceDN w:val="0"/>
              <w:adjustRightInd w:val="0"/>
              <w:spacing w:after="0" w:line="240" w:lineRule="auto"/>
              <w:jc w:val="right"/>
              <w:rPr>
                <w:rFonts w:cstheme="minorHAnsi"/>
                <w:b/>
                <w:color w:val="000000"/>
              </w:rPr>
            </w:pPr>
            <w:r>
              <w:rPr>
                <w:rFonts w:ascii="Calibri" w:hAnsi="Calibri" w:cs="Calibri"/>
                <w:b/>
                <w:bCs/>
                <w:color w:val="000000"/>
              </w:rPr>
              <w:t>30.954%</w:t>
            </w:r>
          </w:p>
        </w:tc>
        <w:tc>
          <w:tcPr>
            <w:tcW w:w="835" w:type="pct"/>
          </w:tcPr>
          <w:p w14:paraId="4F48BB35" w14:textId="77777777" w:rsidR="0069396C" w:rsidRPr="002E7B1D" w:rsidRDefault="0069396C" w:rsidP="0069396C">
            <w:pPr>
              <w:autoSpaceDE w:val="0"/>
              <w:autoSpaceDN w:val="0"/>
              <w:adjustRightInd w:val="0"/>
              <w:spacing w:after="0" w:line="240" w:lineRule="auto"/>
              <w:jc w:val="right"/>
              <w:rPr>
                <w:rFonts w:cstheme="minorHAnsi"/>
                <w:color w:val="000000"/>
              </w:rPr>
            </w:pPr>
          </w:p>
        </w:tc>
        <w:tc>
          <w:tcPr>
            <w:tcW w:w="784" w:type="pct"/>
          </w:tcPr>
          <w:p w14:paraId="3442BA8B" w14:textId="77777777" w:rsidR="0069396C" w:rsidRPr="002E7B1D" w:rsidRDefault="0069396C" w:rsidP="0069396C">
            <w:pPr>
              <w:autoSpaceDE w:val="0"/>
              <w:autoSpaceDN w:val="0"/>
              <w:adjustRightInd w:val="0"/>
              <w:spacing w:after="0" w:line="240" w:lineRule="auto"/>
              <w:jc w:val="right"/>
              <w:rPr>
                <w:rFonts w:cstheme="minorHAnsi"/>
                <w:color w:val="000000"/>
              </w:rPr>
            </w:pPr>
          </w:p>
        </w:tc>
        <w:tc>
          <w:tcPr>
            <w:tcW w:w="783" w:type="pct"/>
          </w:tcPr>
          <w:p w14:paraId="7EFB3B9C" w14:textId="77777777" w:rsidR="0069396C" w:rsidRPr="002E7B1D" w:rsidRDefault="0069396C" w:rsidP="0069396C">
            <w:pPr>
              <w:autoSpaceDE w:val="0"/>
              <w:autoSpaceDN w:val="0"/>
              <w:adjustRightInd w:val="0"/>
              <w:spacing w:after="0" w:line="240" w:lineRule="auto"/>
              <w:jc w:val="right"/>
              <w:rPr>
                <w:rFonts w:cstheme="minorHAnsi"/>
                <w:color w:val="000000"/>
              </w:rPr>
            </w:pPr>
          </w:p>
        </w:tc>
        <w:tc>
          <w:tcPr>
            <w:tcW w:w="835" w:type="pct"/>
          </w:tcPr>
          <w:p w14:paraId="072ADD11" w14:textId="77777777" w:rsidR="0069396C" w:rsidRPr="002E7B1D" w:rsidRDefault="0069396C" w:rsidP="0069396C">
            <w:pPr>
              <w:autoSpaceDE w:val="0"/>
              <w:autoSpaceDN w:val="0"/>
              <w:adjustRightInd w:val="0"/>
              <w:spacing w:after="0" w:line="240" w:lineRule="auto"/>
              <w:jc w:val="right"/>
              <w:rPr>
                <w:rFonts w:cstheme="minorHAnsi"/>
                <w:color w:val="000000"/>
              </w:rPr>
            </w:pPr>
          </w:p>
        </w:tc>
      </w:tr>
    </w:tbl>
    <w:p w14:paraId="7837F92E" w14:textId="621514A2" w:rsidR="003129E8" w:rsidRDefault="003129E8" w:rsidP="007344DF">
      <w:pPr>
        <w:rPr>
          <w:b/>
        </w:rPr>
      </w:pPr>
    </w:p>
    <w:p w14:paraId="63A2401E" w14:textId="378916A3" w:rsidR="007344DF" w:rsidRPr="00DA5029" w:rsidRDefault="007344DF" w:rsidP="007344DF">
      <w:r w:rsidRPr="00DA5029">
        <w:t>Overall uncertainty in the baseline is calculated using equation 10 of the methodology</w:t>
      </w:r>
      <w:r w:rsidR="0069396C">
        <w:t>.</w:t>
      </w:r>
    </w:p>
    <w:p w14:paraId="6282B9A1" w14:textId="77777777" w:rsidR="007344DF" w:rsidRPr="00DA5029" w:rsidRDefault="007344DF" w:rsidP="007344DF">
      <w:pPr>
        <w:rPr>
          <w:i/>
        </w:rPr>
      </w:pPr>
    </w:p>
    <w:p w14:paraId="23E8CA38" w14:textId="243B2BFE" w:rsidR="00A1746E" w:rsidRDefault="007344DF" w:rsidP="00367867">
      <w:r w:rsidRPr="00DA5029">
        <w:t xml:space="preserve">Overall uncertainty in the baseline </w:t>
      </w:r>
      <w:r w:rsidRPr="002E7271">
        <w:t xml:space="preserve">is </w:t>
      </w:r>
      <w:r w:rsidR="00AD1A6C">
        <w:t>6.</w:t>
      </w:r>
      <w:r w:rsidR="0069396C">
        <w:t>5</w:t>
      </w:r>
      <w:r w:rsidRPr="002E7271">
        <w:t>%.</w:t>
      </w:r>
      <w:r w:rsidR="00367867">
        <w:t xml:space="preserve"> </w:t>
      </w:r>
    </w:p>
    <w:p w14:paraId="6A897CBE" w14:textId="455F784E" w:rsidR="00367867" w:rsidRPr="00DA5029" w:rsidRDefault="00361465" w:rsidP="00367867">
      <w:r>
        <w:t>Total project</w:t>
      </w:r>
      <w:r w:rsidR="00367867">
        <w:t xml:space="preserve"> uncertainty, </w:t>
      </w:r>
      <w:r w:rsidR="00367867" w:rsidRPr="00C0519C">
        <w:rPr>
          <w:i/>
        </w:rPr>
        <w:t>UNC,t</w:t>
      </w:r>
      <w:r w:rsidR="00367867">
        <w:t xml:space="preserve">, is calculated using equation 19 of the methodology, and </w:t>
      </w:r>
      <w:r w:rsidR="00367867" w:rsidRPr="00367867">
        <w:t>for future monitoring events, where re</w:t>
      </w:r>
      <w:r w:rsidR="00367867">
        <w:t>-</w:t>
      </w:r>
      <w:r w:rsidR="00367867" w:rsidRPr="00367867">
        <w:t xml:space="preserve">measurement </w:t>
      </w:r>
      <w:r w:rsidR="00367867">
        <w:t xml:space="preserve">of forest carbon stocks </w:t>
      </w:r>
      <w:r w:rsidR="00367867" w:rsidRPr="00367867">
        <w:t>has taken place, will use separate baseline</w:t>
      </w:r>
      <w:r w:rsidR="00367867">
        <w:t xml:space="preserve">, </w:t>
      </w:r>
      <w:r w:rsidR="00367867" w:rsidRPr="00C0519C">
        <w:rPr>
          <w:i/>
        </w:rPr>
        <w:t>UNC</w:t>
      </w:r>
      <w:r w:rsidR="00367867" w:rsidRPr="00C0519C">
        <w:rPr>
          <w:i/>
          <w:vertAlign w:val="subscript"/>
        </w:rPr>
        <w:t>BSL</w:t>
      </w:r>
      <w:r w:rsidR="00367867">
        <w:rPr>
          <w:i/>
          <w:vertAlign w:val="subscript"/>
        </w:rPr>
        <w:t>,t</w:t>
      </w:r>
      <w:r w:rsidR="004D1D23">
        <w:t xml:space="preserve"> (v</w:t>
      </w:r>
      <w:r w:rsidR="00931C92">
        <w:t>alue 6.</w:t>
      </w:r>
      <w:r w:rsidR="0069396C">
        <w:t>5</w:t>
      </w:r>
      <w:r w:rsidR="00367867">
        <w:t>%)</w:t>
      </w:r>
      <w:r w:rsidR="00367867" w:rsidRPr="00367867">
        <w:t xml:space="preserve"> and project</w:t>
      </w:r>
      <w:r w:rsidR="00BB6281">
        <w:t>,</w:t>
      </w:r>
      <w:r w:rsidR="00367867">
        <w:t xml:space="preserve"> </w:t>
      </w:r>
      <w:r w:rsidR="00367867" w:rsidRPr="0023043F">
        <w:rPr>
          <w:i/>
        </w:rPr>
        <w:t>UNC</w:t>
      </w:r>
      <w:r w:rsidR="00367867">
        <w:rPr>
          <w:i/>
          <w:vertAlign w:val="subscript"/>
        </w:rPr>
        <w:t>P,t</w:t>
      </w:r>
      <w:r w:rsidR="00367867">
        <w:t xml:space="preserve"> (value</w:t>
      </w:r>
      <w:r w:rsidR="000A1894">
        <w:t xml:space="preserve"> 6.5% at validation,</w:t>
      </w:r>
      <w:r w:rsidR="00367867">
        <w:t xml:space="preserve"> to be </w:t>
      </w:r>
      <w:r w:rsidR="00C851FF">
        <w:t>reassessed</w:t>
      </w:r>
      <w:r w:rsidR="000A1894">
        <w:t xml:space="preserve"> </w:t>
      </w:r>
      <w:r w:rsidR="00F115B6">
        <w:t>at each monitoring event</w:t>
      </w:r>
      <w:r w:rsidR="00367867">
        <w:t>),</w:t>
      </w:r>
      <w:r w:rsidR="00367867" w:rsidRPr="00367867">
        <w:t xml:space="preserve"> uncertainties.</w:t>
      </w:r>
    </w:p>
    <w:p w14:paraId="172A9128" w14:textId="77777777" w:rsidR="007344DF" w:rsidRDefault="007344DF" w:rsidP="007344DF"/>
    <w:p w14:paraId="570F5C9C" w14:textId="77777777" w:rsidR="007344DF" w:rsidRPr="008D3751" w:rsidRDefault="007344DF" w:rsidP="007344DF">
      <w:pPr>
        <w:rPr>
          <w:iCs/>
        </w:rPr>
      </w:pPr>
    </w:p>
    <w:p w14:paraId="0360A58A" w14:textId="77777777" w:rsidR="007344DF" w:rsidRDefault="007344DF" w:rsidP="007344DF">
      <w:pPr>
        <w:pStyle w:val="Heading2"/>
        <w:rPr>
          <w:rFonts w:eastAsia="Times New Roman"/>
        </w:rPr>
      </w:pPr>
      <w:bookmarkStart w:id="37" w:name="_Toc482011529"/>
      <w:bookmarkStart w:id="38" w:name="_Toc2243510"/>
      <w:r>
        <w:rPr>
          <w:rFonts w:eastAsia="Times New Roman"/>
        </w:rPr>
        <w:t>E5. REDUCTIONS AND REMOVAL ENHANCEMENTS</w:t>
      </w:r>
      <w:bookmarkEnd w:id="37"/>
      <w:bookmarkEnd w:id="38"/>
    </w:p>
    <w:p w14:paraId="2DBB62F2" w14:textId="77777777" w:rsidR="007344DF" w:rsidRDefault="007344DF" w:rsidP="007344DF">
      <w:pPr>
        <w:rPr>
          <w:iCs/>
        </w:rPr>
      </w:pPr>
    </w:p>
    <w:p w14:paraId="08CFA028" w14:textId="3A7E166C" w:rsidR="007344DF" w:rsidRPr="00F12B81" w:rsidRDefault="007344DF" w:rsidP="007344DF">
      <w:r w:rsidRPr="009539BE">
        <w:t xml:space="preserve">Methodology calculations and estimates of net reductions and removals enhancements are detailed in </w:t>
      </w:r>
      <w:r>
        <w:t xml:space="preserve">the </w:t>
      </w:r>
      <w:r w:rsidR="00B9370D">
        <w:t>Table E11</w:t>
      </w:r>
      <w:r>
        <w:t xml:space="preserve"> below and in “</w:t>
      </w:r>
      <w:r w:rsidRPr="009539BE">
        <w:t xml:space="preserve">ACR_Calcs </w:t>
      </w:r>
      <w:r w:rsidR="00B6679E">
        <w:t>UT</w:t>
      </w:r>
      <w:r w:rsidR="00BA56C7">
        <w:t>K</w:t>
      </w:r>
      <w:r w:rsidR="0020722A">
        <w:t>*</w:t>
      </w:r>
      <w:r>
        <w:t>.xls”</w:t>
      </w:r>
      <w:r w:rsidRPr="009539BE">
        <w:t>.</w:t>
      </w:r>
      <w:r>
        <w:t xml:space="preserve"> </w:t>
      </w:r>
    </w:p>
    <w:p w14:paraId="203FC186" w14:textId="77777777" w:rsidR="007344DF" w:rsidRPr="00F12B81" w:rsidRDefault="007344DF" w:rsidP="007344DF">
      <w:pPr>
        <w:rPr>
          <w:rFonts w:eastAsia="Times New Roman" w:cs="Arial"/>
          <w:color w:val="000000"/>
        </w:rPr>
      </w:pPr>
    </w:p>
    <w:p w14:paraId="48F004DA" w14:textId="77777777" w:rsidR="007344DF" w:rsidRDefault="007344DF" w:rsidP="007344DF"/>
    <w:p w14:paraId="3AF6EA80" w14:textId="77777777" w:rsidR="007344DF" w:rsidRDefault="007344DF" w:rsidP="007344DF"/>
    <w:p w14:paraId="2D8EF908" w14:textId="77777777" w:rsidR="007344DF" w:rsidRDefault="007344DF" w:rsidP="007344DF">
      <w:pPr>
        <w:rPr>
          <w:iCs/>
        </w:rPr>
        <w:sectPr w:rsidR="007344DF" w:rsidSect="007344DF">
          <w:type w:val="oddPage"/>
          <w:pgSz w:w="12240" w:h="15840"/>
          <w:pgMar w:top="1440" w:right="1440" w:bottom="1440" w:left="1440" w:header="720" w:footer="720" w:gutter="0"/>
          <w:cols w:space="720"/>
          <w:docGrid w:linePitch="360"/>
        </w:sectPr>
      </w:pPr>
    </w:p>
    <w:p w14:paraId="60F47B26" w14:textId="64EE071E" w:rsidR="007344DF" w:rsidRDefault="00B9370D" w:rsidP="007344DF">
      <w:pPr>
        <w:rPr>
          <w:b/>
        </w:rPr>
      </w:pPr>
      <w:r>
        <w:rPr>
          <w:b/>
        </w:rPr>
        <w:t>Table E11</w:t>
      </w:r>
      <w:r w:rsidR="002C2C52" w:rsidRPr="002605E2">
        <w:rPr>
          <w:b/>
        </w:rPr>
        <w:t xml:space="preserve">. </w:t>
      </w:r>
      <w:r w:rsidR="007344DF" w:rsidRPr="002605E2">
        <w:rPr>
          <w:b/>
        </w:rPr>
        <w:t xml:space="preserve">Calculations for the first crediting period. All change values apply to the annual interval </w:t>
      </w:r>
      <w:r w:rsidR="008B61EE" w:rsidRPr="002605E2">
        <w:rPr>
          <w:b/>
        </w:rPr>
        <w:t xml:space="preserve">beginning </w:t>
      </w:r>
      <w:r w:rsidR="00067C25">
        <w:rPr>
          <w:b/>
        </w:rPr>
        <w:t>November 26</w:t>
      </w:r>
      <w:r w:rsidR="008B61EE" w:rsidRPr="002605E2">
        <w:rPr>
          <w:b/>
        </w:rPr>
        <w:t xml:space="preserve"> </w:t>
      </w:r>
      <w:r w:rsidR="007344DF" w:rsidRPr="002605E2">
        <w:rPr>
          <w:b/>
        </w:rPr>
        <w:t xml:space="preserve">of the </w:t>
      </w:r>
      <w:r w:rsidR="00067C25">
        <w:rPr>
          <w:b/>
        </w:rPr>
        <w:t xml:space="preserve">previous </w:t>
      </w:r>
      <w:r w:rsidR="007344DF" w:rsidRPr="002605E2">
        <w:rPr>
          <w:b/>
        </w:rPr>
        <w:t xml:space="preserve">year (i.e. project year </w:t>
      </w:r>
      <w:r w:rsidR="00067C25">
        <w:rPr>
          <w:b/>
        </w:rPr>
        <w:t xml:space="preserve">2020 </w:t>
      </w:r>
      <w:r w:rsidR="007344DF" w:rsidRPr="002605E2">
        <w:rPr>
          <w:b/>
        </w:rPr>
        <w:t xml:space="preserve">accounts the change taking place between </w:t>
      </w:r>
      <w:r w:rsidR="00067C25">
        <w:rPr>
          <w:b/>
        </w:rPr>
        <w:t xml:space="preserve">November 26 2019 </w:t>
      </w:r>
      <w:r w:rsidR="007344DF" w:rsidRPr="002605E2">
        <w:rPr>
          <w:b/>
        </w:rPr>
        <w:t xml:space="preserve">and </w:t>
      </w:r>
      <w:r w:rsidR="00067C25">
        <w:rPr>
          <w:b/>
        </w:rPr>
        <w:t>November 25 2020</w:t>
      </w:r>
      <w:r w:rsidR="007344DF" w:rsidRPr="002605E2">
        <w:rPr>
          <w:b/>
        </w:rPr>
        <w:t>).</w:t>
      </w:r>
    </w:p>
    <w:tbl>
      <w:tblPr>
        <w:tblW w:w="5000" w:type="pct"/>
        <w:tblLayout w:type="fixed"/>
        <w:tblLook w:val="04A0" w:firstRow="1" w:lastRow="0" w:firstColumn="1" w:lastColumn="0" w:noHBand="0" w:noVBand="1"/>
      </w:tblPr>
      <w:tblGrid>
        <w:gridCol w:w="1968"/>
        <w:gridCol w:w="999"/>
        <w:gridCol w:w="999"/>
        <w:gridCol w:w="999"/>
        <w:gridCol w:w="1003"/>
        <w:gridCol w:w="998"/>
        <w:gridCol w:w="998"/>
        <w:gridCol w:w="998"/>
        <w:gridCol w:w="1001"/>
        <w:gridCol w:w="998"/>
        <w:gridCol w:w="998"/>
        <w:gridCol w:w="1001"/>
      </w:tblGrid>
      <w:tr w:rsidR="001B5043" w:rsidRPr="001B5043" w14:paraId="227C4511" w14:textId="77777777" w:rsidTr="004463E3">
        <w:trPr>
          <w:trHeight w:val="293"/>
        </w:trPr>
        <w:tc>
          <w:tcPr>
            <w:tcW w:w="759" w:type="pct"/>
            <w:tcBorders>
              <w:top w:val="single" w:sz="4" w:space="0" w:color="auto"/>
              <w:left w:val="nil"/>
              <w:bottom w:val="double" w:sz="6" w:space="0" w:color="auto"/>
              <w:right w:val="nil"/>
            </w:tcBorders>
            <w:shd w:val="clear" w:color="000000" w:fill="FFFFFF"/>
            <w:noWrap/>
            <w:vAlign w:val="bottom"/>
            <w:hideMark/>
          </w:tcPr>
          <w:p w14:paraId="38F90D4D" w14:textId="77777777" w:rsidR="001B5043" w:rsidRPr="001B5043" w:rsidRDefault="001B5043" w:rsidP="001B5043">
            <w:pPr>
              <w:spacing w:after="0" w:line="240" w:lineRule="auto"/>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ACR Account Year</w:t>
            </w:r>
          </w:p>
        </w:tc>
        <w:tc>
          <w:tcPr>
            <w:tcW w:w="385" w:type="pct"/>
            <w:tcBorders>
              <w:top w:val="single" w:sz="4" w:space="0" w:color="auto"/>
              <w:left w:val="nil"/>
              <w:bottom w:val="double" w:sz="6" w:space="0" w:color="auto"/>
              <w:right w:val="nil"/>
            </w:tcBorders>
            <w:shd w:val="clear" w:color="000000" w:fill="FFFFFF"/>
            <w:noWrap/>
            <w:vAlign w:val="bottom"/>
            <w:hideMark/>
          </w:tcPr>
          <w:p w14:paraId="4580188A"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0</w:t>
            </w:r>
          </w:p>
        </w:tc>
        <w:tc>
          <w:tcPr>
            <w:tcW w:w="385" w:type="pct"/>
            <w:tcBorders>
              <w:top w:val="single" w:sz="4" w:space="0" w:color="auto"/>
              <w:left w:val="nil"/>
              <w:bottom w:val="double" w:sz="6" w:space="0" w:color="auto"/>
              <w:right w:val="nil"/>
            </w:tcBorders>
            <w:shd w:val="clear" w:color="000000" w:fill="FFFFFF"/>
            <w:noWrap/>
            <w:vAlign w:val="bottom"/>
            <w:hideMark/>
          </w:tcPr>
          <w:p w14:paraId="5E3A509B"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1</w:t>
            </w:r>
          </w:p>
        </w:tc>
        <w:tc>
          <w:tcPr>
            <w:tcW w:w="385" w:type="pct"/>
            <w:tcBorders>
              <w:top w:val="single" w:sz="4" w:space="0" w:color="auto"/>
              <w:left w:val="nil"/>
              <w:bottom w:val="double" w:sz="6" w:space="0" w:color="auto"/>
              <w:right w:val="nil"/>
            </w:tcBorders>
            <w:shd w:val="clear" w:color="000000" w:fill="FFFFFF"/>
            <w:noWrap/>
            <w:vAlign w:val="bottom"/>
            <w:hideMark/>
          </w:tcPr>
          <w:p w14:paraId="7E33286A"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w:t>
            </w:r>
          </w:p>
        </w:tc>
        <w:tc>
          <w:tcPr>
            <w:tcW w:w="387" w:type="pct"/>
            <w:tcBorders>
              <w:top w:val="single" w:sz="4" w:space="0" w:color="auto"/>
              <w:left w:val="nil"/>
              <w:bottom w:val="double" w:sz="6" w:space="0" w:color="auto"/>
              <w:right w:val="nil"/>
            </w:tcBorders>
            <w:shd w:val="clear" w:color="000000" w:fill="FFFFFF"/>
            <w:noWrap/>
            <w:vAlign w:val="bottom"/>
            <w:hideMark/>
          </w:tcPr>
          <w:p w14:paraId="0BA2701C"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3</w:t>
            </w:r>
          </w:p>
        </w:tc>
        <w:tc>
          <w:tcPr>
            <w:tcW w:w="385" w:type="pct"/>
            <w:tcBorders>
              <w:top w:val="single" w:sz="4" w:space="0" w:color="auto"/>
              <w:left w:val="nil"/>
              <w:bottom w:val="double" w:sz="6" w:space="0" w:color="auto"/>
              <w:right w:val="nil"/>
            </w:tcBorders>
            <w:shd w:val="clear" w:color="000000" w:fill="FFFFFF"/>
            <w:noWrap/>
            <w:vAlign w:val="bottom"/>
            <w:hideMark/>
          </w:tcPr>
          <w:p w14:paraId="71B3908D"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4</w:t>
            </w:r>
          </w:p>
        </w:tc>
        <w:tc>
          <w:tcPr>
            <w:tcW w:w="385" w:type="pct"/>
            <w:tcBorders>
              <w:top w:val="single" w:sz="4" w:space="0" w:color="auto"/>
              <w:left w:val="nil"/>
              <w:bottom w:val="double" w:sz="6" w:space="0" w:color="auto"/>
              <w:right w:val="nil"/>
            </w:tcBorders>
            <w:shd w:val="clear" w:color="000000" w:fill="FFFFFF"/>
            <w:noWrap/>
            <w:vAlign w:val="bottom"/>
            <w:hideMark/>
          </w:tcPr>
          <w:p w14:paraId="10BD5BC6"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5</w:t>
            </w:r>
          </w:p>
        </w:tc>
        <w:tc>
          <w:tcPr>
            <w:tcW w:w="385" w:type="pct"/>
            <w:tcBorders>
              <w:top w:val="single" w:sz="4" w:space="0" w:color="auto"/>
              <w:left w:val="nil"/>
              <w:bottom w:val="double" w:sz="6" w:space="0" w:color="auto"/>
              <w:right w:val="nil"/>
            </w:tcBorders>
            <w:shd w:val="clear" w:color="000000" w:fill="FFFFFF"/>
            <w:noWrap/>
            <w:vAlign w:val="bottom"/>
            <w:hideMark/>
          </w:tcPr>
          <w:p w14:paraId="4B7679CB"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6</w:t>
            </w:r>
          </w:p>
        </w:tc>
        <w:tc>
          <w:tcPr>
            <w:tcW w:w="386" w:type="pct"/>
            <w:tcBorders>
              <w:top w:val="single" w:sz="4" w:space="0" w:color="auto"/>
              <w:left w:val="nil"/>
              <w:bottom w:val="double" w:sz="6" w:space="0" w:color="auto"/>
              <w:right w:val="nil"/>
            </w:tcBorders>
            <w:shd w:val="clear" w:color="000000" w:fill="FFFFFF"/>
            <w:noWrap/>
            <w:vAlign w:val="bottom"/>
            <w:hideMark/>
          </w:tcPr>
          <w:p w14:paraId="1B2B49CC"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7</w:t>
            </w:r>
          </w:p>
        </w:tc>
        <w:tc>
          <w:tcPr>
            <w:tcW w:w="385" w:type="pct"/>
            <w:tcBorders>
              <w:top w:val="single" w:sz="4" w:space="0" w:color="auto"/>
              <w:left w:val="nil"/>
              <w:bottom w:val="double" w:sz="6" w:space="0" w:color="auto"/>
              <w:right w:val="nil"/>
            </w:tcBorders>
            <w:shd w:val="clear" w:color="000000" w:fill="FFFFFF"/>
            <w:noWrap/>
            <w:vAlign w:val="bottom"/>
            <w:hideMark/>
          </w:tcPr>
          <w:p w14:paraId="66BAE3E9"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8</w:t>
            </w:r>
          </w:p>
        </w:tc>
        <w:tc>
          <w:tcPr>
            <w:tcW w:w="385" w:type="pct"/>
            <w:tcBorders>
              <w:top w:val="single" w:sz="4" w:space="0" w:color="auto"/>
              <w:left w:val="nil"/>
              <w:bottom w:val="double" w:sz="6" w:space="0" w:color="auto"/>
              <w:right w:val="nil"/>
            </w:tcBorders>
            <w:shd w:val="clear" w:color="000000" w:fill="FFFFFF"/>
            <w:noWrap/>
            <w:vAlign w:val="bottom"/>
            <w:hideMark/>
          </w:tcPr>
          <w:p w14:paraId="2AC64274"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9</w:t>
            </w:r>
          </w:p>
        </w:tc>
        <w:tc>
          <w:tcPr>
            <w:tcW w:w="386" w:type="pct"/>
            <w:tcBorders>
              <w:top w:val="single" w:sz="4" w:space="0" w:color="auto"/>
              <w:left w:val="nil"/>
              <w:bottom w:val="double" w:sz="6" w:space="0" w:color="auto"/>
              <w:right w:val="nil"/>
            </w:tcBorders>
            <w:shd w:val="clear" w:color="000000" w:fill="FFFFFF"/>
            <w:noWrap/>
            <w:vAlign w:val="bottom"/>
            <w:hideMark/>
          </w:tcPr>
          <w:p w14:paraId="12F029B2"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10</w:t>
            </w:r>
          </w:p>
        </w:tc>
      </w:tr>
      <w:tr w:rsidR="001B5043" w:rsidRPr="001B5043" w14:paraId="0BA21D7A" w14:textId="77777777" w:rsidTr="004463E3">
        <w:trPr>
          <w:trHeight w:val="300"/>
        </w:trPr>
        <w:tc>
          <w:tcPr>
            <w:tcW w:w="759" w:type="pct"/>
            <w:tcBorders>
              <w:top w:val="single" w:sz="4" w:space="0" w:color="auto"/>
              <w:left w:val="nil"/>
              <w:bottom w:val="double" w:sz="6" w:space="0" w:color="auto"/>
              <w:right w:val="nil"/>
            </w:tcBorders>
            <w:shd w:val="clear" w:color="000000" w:fill="FFFFFF"/>
            <w:noWrap/>
            <w:vAlign w:val="bottom"/>
            <w:hideMark/>
          </w:tcPr>
          <w:p w14:paraId="147267E2" w14:textId="77777777" w:rsidR="001B5043" w:rsidRPr="001B5043" w:rsidRDefault="001B5043" w:rsidP="001B5043">
            <w:pPr>
              <w:spacing w:after="0" w:line="240" w:lineRule="auto"/>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project year (stocks at beginning)</w:t>
            </w:r>
          </w:p>
        </w:tc>
        <w:tc>
          <w:tcPr>
            <w:tcW w:w="385" w:type="pct"/>
            <w:tcBorders>
              <w:top w:val="single" w:sz="4" w:space="0" w:color="auto"/>
              <w:left w:val="nil"/>
              <w:bottom w:val="double" w:sz="6" w:space="0" w:color="auto"/>
              <w:right w:val="nil"/>
            </w:tcBorders>
            <w:shd w:val="clear" w:color="000000" w:fill="FFFFFF"/>
            <w:noWrap/>
            <w:vAlign w:val="bottom"/>
            <w:hideMark/>
          </w:tcPr>
          <w:p w14:paraId="04080041"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2020</w:t>
            </w:r>
          </w:p>
        </w:tc>
        <w:tc>
          <w:tcPr>
            <w:tcW w:w="385" w:type="pct"/>
            <w:tcBorders>
              <w:top w:val="single" w:sz="4" w:space="0" w:color="auto"/>
              <w:left w:val="nil"/>
              <w:bottom w:val="double" w:sz="6" w:space="0" w:color="auto"/>
              <w:right w:val="nil"/>
            </w:tcBorders>
            <w:shd w:val="clear" w:color="000000" w:fill="FFFFFF"/>
            <w:noWrap/>
            <w:vAlign w:val="bottom"/>
            <w:hideMark/>
          </w:tcPr>
          <w:p w14:paraId="41FE651A"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2021</w:t>
            </w:r>
          </w:p>
        </w:tc>
        <w:tc>
          <w:tcPr>
            <w:tcW w:w="385" w:type="pct"/>
            <w:tcBorders>
              <w:top w:val="single" w:sz="4" w:space="0" w:color="auto"/>
              <w:left w:val="nil"/>
              <w:bottom w:val="double" w:sz="6" w:space="0" w:color="auto"/>
              <w:right w:val="nil"/>
            </w:tcBorders>
            <w:shd w:val="clear" w:color="000000" w:fill="FFFFFF"/>
            <w:noWrap/>
            <w:vAlign w:val="bottom"/>
            <w:hideMark/>
          </w:tcPr>
          <w:p w14:paraId="577965B8"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2022</w:t>
            </w:r>
          </w:p>
        </w:tc>
        <w:tc>
          <w:tcPr>
            <w:tcW w:w="387" w:type="pct"/>
            <w:tcBorders>
              <w:top w:val="single" w:sz="4" w:space="0" w:color="auto"/>
              <w:left w:val="nil"/>
              <w:bottom w:val="double" w:sz="6" w:space="0" w:color="auto"/>
              <w:right w:val="nil"/>
            </w:tcBorders>
            <w:shd w:val="clear" w:color="000000" w:fill="FFFFFF"/>
            <w:noWrap/>
            <w:vAlign w:val="bottom"/>
            <w:hideMark/>
          </w:tcPr>
          <w:p w14:paraId="6740246D"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2023</w:t>
            </w:r>
          </w:p>
        </w:tc>
        <w:tc>
          <w:tcPr>
            <w:tcW w:w="385" w:type="pct"/>
            <w:tcBorders>
              <w:top w:val="single" w:sz="4" w:space="0" w:color="auto"/>
              <w:left w:val="nil"/>
              <w:bottom w:val="double" w:sz="6" w:space="0" w:color="auto"/>
              <w:right w:val="nil"/>
            </w:tcBorders>
            <w:shd w:val="clear" w:color="000000" w:fill="FFFFFF"/>
            <w:noWrap/>
            <w:vAlign w:val="bottom"/>
            <w:hideMark/>
          </w:tcPr>
          <w:p w14:paraId="22C2489C"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2024</w:t>
            </w:r>
          </w:p>
        </w:tc>
        <w:tc>
          <w:tcPr>
            <w:tcW w:w="385" w:type="pct"/>
            <w:tcBorders>
              <w:top w:val="single" w:sz="4" w:space="0" w:color="auto"/>
              <w:left w:val="nil"/>
              <w:bottom w:val="double" w:sz="6" w:space="0" w:color="auto"/>
              <w:right w:val="nil"/>
            </w:tcBorders>
            <w:shd w:val="clear" w:color="000000" w:fill="FFFFFF"/>
            <w:noWrap/>
            <w:vAlign w:val="bottom"/>
            <w:hideMark/>
          </w:tcPr>
          <w:p w14:paraId="12684870"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2025</w:t>
            </w:r>
          </w:p>
        </w:tc>
        <w:tc>
          <w:tcPr>
            <w:tcW w:w="385" w:type="pct"/>
            <w:tcBorders>
              <w:top w:val="single" w:sz="4" w:space="0" w:color="auto"/>
              <w:left w:val="nil"/>
              <w:bottom w:val="double" w:sz="6" w:space="0" w:color="auto"/>
              <w:right w:val="nil"/>
            </w:tcBorders>
            <w:shd w:val="clear" w:color="000000" w:fill="FFFFFF"/>
            <w:noWrap/>
            <w:vAlign w:val="bottom"/>
            <w:hideMark/>
          </w:tcPr>
          <w:p w14:paraId="45AFBA44"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2026</w:t>
            </w:r>
          </w:p>
        </w:tc>
        <w:tc>
          <w:tcPr>
            <w:tcW w:w="386" w:type="pct"/>
            <w:tcBorders>
              <w:top w:val="single" w:sz="4" w:space="0" w:color="auto"/>
              <w:left w:val="nil"/>
              <w:bottom w:val="double" w:sz="6" w:space="0" w:color="auto"/>
              <w:right w:val="nil"/>
            </w:tcBorders>
            <w:shd w:val="clear" w:color="000000" w:fill="FFFFFF"/>
            <w:noWrap/>
            <w:vAlign w:val="bottom"/>
            <w:hideMark/>
          </w:tcPr>
          <w:p w14:paraId="0189AAC8"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2027</w:t>
            </w:r>
          </w:p>
        </w:tc>
        <w:tc>
          <w:tcPr>
            <w:tcW w:w="385" w:type="pct"/>
            <w:tcBorders>
              <w:top w:val="single" w:sz="4" w:space="0" w:color="auto"/>
              <w:left w:val="nil"/>
              <w:bottom w:val="double" w:sz="6" w:space="0" w:color="auto"/>
              <w:right w:val="nil"/>
            </w:tcBorders>
            <w:shd w:val="clear" w:color="000000" w:fill="FFFFFF"/>
            <w:noWrap/>
            <w:vAlign w:val="bottom"/>
            <w:hideMark/>
          </w:tcPr>
          <w:p w14:paraId="19697999"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2028</w:t>
            </w:r>
          </w:p>
        </w:tc>
        <w:tc>
          <w:tcPr>
            <w:tcW w:w="385" w:type="pct"/>
            <w:tcBorders>
              <w:top w:val="single" w:sz="4" w:space="0" w:color="auto"/>
              <w:left w:val="nil"/>
              <w:bottom w:val="double" w:sz="6" w:space="0" w:color="auto"/>
              <w:right w:val="nil"/>
            </w:tcBorders>
            <w:shd w:val="clear" w:color="000000" w:fill="FFFFFF"/>
            <w:noWrap/>
            <w:vAlign w:val="bottom"/>
            <w:hideMark/>
          </w:tcPr>
          <w:p w14:paraId="7E6AAC3C"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2029</w:t>
            </w:r>
          </w:p>
        </w:tc>
        <w:tc>
          <w:tcPr>
            <w:tcW w:w="386" w:type="pct"/>
            <w:tcBorders>
              <w:top w:val="single" w:sz="4" w:space="0" w:color="auto"/>
              <w:left w:val="nil"/>
              <w:bottom w:val="double" w:sz="6" w:space="0" w:color="auto"/>
              <w:right w:val="nil"/>
            </w:tcBorders>
            <w:shd w:val="clear" w:color="000000" w:fill="FFFFFF"/>
            <w:noWrap/>
            <w:vAlign w:val="bottom"/>
            <w:hideMark/>
          </w:tcPr>
          <w:p w14:paraId="5D5E7457"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2030</w:t>
            </w:r>
          </w:p>
        </w:tc>
      </w:tr>
      <w:tr w:rsidR="001B5043" w:rsidRPr="001B5043" w14:paraId="48C9B0D9" w14:textId="77777777" w:rsidTr="004463E3">
        <w:trPr>
          <w:trHeight w:val="300"/>
        </w:trPr>
        <w:tc>
          <w:tcPr>
            <w:tcW w:w="759" w:type="pct"/>
            <w:tcBorders>
              <w:top w:val="single" w:sz="4" w:space="0" w:color="auto"/>
              <w:left w:val="nil"/>
              <w:bottom w:val="double" w:sz="6" w:space="0" w:color="auto"/>
              <w:right w:val="nil"/>
            </w:tcBorders>
            <w:shd w:val="clear" w:color="000000" w:fill="FFFFFF"/>
            <w:noWrap/>
            <w:vAlign w:val="bottom"/>
            <w:hideMark/>
          </w:tcPr>
          <w:p w14:paraId="65518C10" w14:textId="77777777" w:rsidR="001B5043" w:rsidRPr="001B5043" w:rsidRDefault="001B5043" w:rsidP="001B5043">
            <w:pPr>
              <w:spacing w:after="0" w:line="240" w:lineRule="auto"/>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ACR Account Year Date</w:t>
            </w:r>
          </w:p>
        </w:tc>
        <w:tc>
          <w:tcPr>
            <w:tcW w:w="385" w:type="pct"/>
            <w:tcBorders>
              <w:top w:val="single" w:sz="4" w:space="0" w:color="auto"/>
              <w:left w:val="nil"/>
              <w:bottom w:val="double" w:sz="6" w:space="0" w:color="auto"/>
              <w:right w:val="nil"/>
            </w:tcBorders>
            <w:shd w:val="clear" w:color="000000" w:fill="FFFFFF"/>
            <w:noWrap/>
            <w:vAlign w:val="bottom"/>
            <w:hideMark/>
          </w:tcPr>
          <w:p w14:paraId="04772B3E" w14:textId="77777777" w:rsidR="001B5043" w:rsidRPr="001B5043" w:rsidRDefault="001B5043" w:rsidP="001B5043">
            <w:pPr>
              <w:spacing w:after="0" w:line="240" w:lineRule="auto"/>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 </w:t>
            </w:r>
          </w:p>
        </w:tc>
        <w:tc>
          <w:tcPr>
            <w:tcW w:w="385" w:type="pct"/>
            <w:tcBorders>
              <w:top w:val="single" w:sz="4" w:space="0" w:color="auto"/>
              <w:left w:val="nil"/>
              <w:bottom w:val="double" w:sz="6" w:space="0" w:color="auto"/>
              <w:right w:val="nil"/>
            </w:tcBorders>
            <w:shd w:val="clear" w:color="000000" w:fill="FFFFFF"/>
            <w:noWrap/>
            <w:vAlign w:val="bottom"/>
            <w:hideMark/>
          </w:tcPr>
          <w:p w14:paraId="6AC28C70" w14:textId="77777777" w:rsidR="001B5043" w:rsidRPr="001B5043" w:rsidRDefault="001B5043" w:rsidP="001B5043">
            <w:pPr>
              <w:spacing w:after="0" w:line="240" w:lineRule="auto"/>
              <w:jc w:val="right"/>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2020</w:t>
            </w:r>
          </w:p>
        </w:tc>
        <w:tc>
          <w:tcPr>
            <w:tcW w:w="385" w:type="pct"/>
            <w:tcBorders>
              <w:top w:val="single" w:sz="4" w:space="0" w:color="auto"/>
              <w:left w:val="nil"/>
              <w:bottom w:val="double" w:sz="6" w:space="0" w:color="auto"/>
              <w:right w:val="nil"/>
            </w:tcBorders>
            <w:shd w:val="clear" w:color="000000" w:fill="FFFFFF"/>
            <w:noWrap/>
            <w:vAlign w:val="bottom"/>
            <w:hideMark/>
          </w:tcPr>
          <w:p w14:paraId="44929741" w14:textId="77777777" w:rsidR="001B5043" w:rsidRPr="001B5043" w:rsidRDefault="001B5043" w:rsidP="001B5043">
            <w:pPr>
              <w:spacing w:after="0" w:line="240" w:lineRule="auto"/>
              <w:jc w:val="right"/>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2021</w:t>
            </w:r>
          </w:p>
        </w:tc>
        <w:tc>
          <w:tcPr>
            <w:tcW w:w="387" w:type="pct"/>
            <w:tcBorders>
              <w:top w:val="single" w:sz="4" w:space="0" w:color="auto"/>
              <w:left w:val="nil"/>
              <w:bottom w:val="double" w:sz="6" w:space="0" w:color="auto"/>
              <w:right w:val="nil"/>
            </w:tcBorders>
            <w:shd w:val="clear" w:color="000000" w:fill="FFFFFF"/>
            <w:noWrap/>
            <w:vAlign w:val="bottom"/>
            <w:hideMark/>
          </w:tcPr>
          <w:p w14:paraId="46C1680A" w14:textId="77777777" w:rsidR="001B5043" w:rsidRPr="001B5043" w:rsidRDefault="001B5043" w:rsidP="001B5043">
            <w:pPr>
              <w:spacing w:after="0" w:line="240" w:lineRule="auto"/>
              <w:jc w:val="right"/>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2022</w:t>
            </w:r>
          </w:p>
        </w:tc>
        <w:tc>
          <w:tcPr>
            <w:tcW w:w="385" w:type="pct"/>
            <w:tcBorders>
              <w:top w:val="single" w:sz="4" w:space="0" w:color="auto"/>
              <w:left w:val="nil"/>
              <w:bottom w:val="double" w:sz="6" w:space="0" w:color="auto"/>
              <w:right w:val="nil"/>
            </w:tcBorders>
            <w:shd w:val="clear" w:color="000000" w:fill="FFFFFF"/>
            <w:noWrap/>
            <w:vAlign w:val="bottom"/>
            <w:hideMark/>
          </w:tcPr>
          <w:p w14:paraId="04C10FCB" w14:textId="77777777" w:rsidR="001B5043" w:rsidRPr="001B5043" w:rsidRDefault="001B5043" w:rsidP="001B5043">
            <w:pPr>
              <w:spacing w:after="0" w:line="240" w:lineRule="auto"/>
              <w:jc w:val="right"/>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2023</w:t>
            </w:r>
          </w:p>
        </w:tc>
        <w:tc>
          <w:tcPr>
            <w:tcW w:w="385" w:type="pct"/>
            <w:tcBorders>
              <w:top w:val="single" w:sz="4" w:space="0" w:color="auto"/>
              <w:left w:val="nil"/>
              <w:bottom w:val="double" w:sz="6" w:space="0" w:color="auto"/>
              <w:right w:val="nil"/>
            </w:tcBorders>
            <w:shd w:val="clear" w:color="000000" w:fill="FFFFFF"/>
            <w:noWrap/>
            <w:vAlign w:val="bottom"/>
            <w:hideMark/>
          </w:tcPr>
          <w:p w14:paraId="7D878F25" w14:textId="77777777" w:rsidR="001B5043" w:rsidRPr="001B5043" w:rsidRDefault="001B5043" w:rsidP="001B5043">
            <w:pPr>
              <w:spacing w:after="0" w:line="240" w:lineRule="auto"/>
              <w:jc w:val="right"/>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2024</w:t>
            </w:r>
          </w:p>
        </w:tc>
        <w:tc>
          <w:tcPr>
            <w:tcW w:w="385" w:type="pct"/>
            <w:tcBorders>
              <w:top w:val="single" w:sz="4" w:space="0" w:color="auto"/>
              <w:left w:val="nil"/>
              <w:bottom w:val="double" w:sz="6" w:space="0" w:color="auto"/>
              <w:right w:val="nil"/>
            </w:tcBorders>
            <w:shd w:val="clear" w:color="000000" w:fill="FFFFFF"/>
            <w:noWrap/>
            <w:vAlign w:val="bottom"/>
            <w:hideMark/>
          </w:tcPr>
          <w:p w14:paraId="548B8BAE" w14:textId="77777777" w:rsidR="001B5043" w:rsidRPr="001B5043" w:rsidRDefault="001B5043" w:rsidP="001B5043">
            <w:pPr>
              <w:spacing w:after="0" w:line="240" w:lineRule="auto"/>
              <w:jc w:val="right"/>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2025</w:t>
            </w:r>
          </w:p>
        </w:tc>
        <w:tc>
          <w:tcPr>
            <w:tcW w:w="386" w:type="pct"/>
            <w:tcBorders>
              <w:top w:val="single" w:sz="4" w:space="0" w:color="auto"/>
              <w:left w:val="nil"/>
              <w:bottom w:val="double" w:sz="6" w:space="0" w:color="auto"/>
              <w:right w:val="nil"/>
            </w:tcBorders>
            <w:shd w:val="clear" w:color="000000" w:fill="FFFFFF"/>
            <w:noWrap/>
            <w:vAlign w:val="bottom"/>
            <w:hideMark/>
          </w:tcPr>
          <w:p w14:paraId="087A7B30" w14:textId="77777777" w:rsidR="001B5043" w:rsidRPr="001B5043" w:rsidRDefault="001B5043" w:rsidP="001B5043">
            <w:pPr>
              <w:spacing w:after="0" w:line="240" w:lineRule="auto"/>
              <w:jc w:val="right"/>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2026</w:t>
            </w:r>
          </w:p>
        </w:tc>
        <w:tc>
          <w:tcPr>
            <w:tcW w:w="385" w:type="pct"/>
            <w:tcBorders>
              <w:top w:val="single" w:sz="4" w:space="0" w:color="auto"/>
              <w:left w:val="nil"/>
              <w:bottom w:val="double" w:sz="6" w:space="0" w:color="auto"/>
              <w:right w:val="nil"/>
            </w:tcBorders>
            <w:shd w:val="clear" w:color="000000" w:fill="FFFFFF"/>
            <w:noWrap/>
            <w:vAlign w:val="bottom"/>
            <w:hideMark/>
          </w:tcPr>
          <w:p w14:paraId="5DD4A645" w14:textId="77777777" w:rsidR="001B5043" w:rsidRPr="001B5043" w:rsidRDefault="001B5043" w:rsidP="001B5043">
            <w:pPr>
              <w:spacing w:after="0" w:line="240" w:lineRule="auto"/>
              <w:jc w:val="right"/>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2027</w:t>
            </w:r>
          </w:p>
        </w:tc>
        <w:tc>
          <w:tcPr>
            <w:tcW w:w="385" w:type="pct"/>
            <w:tcBorders>
              <w:top w:val="single" w:sz="4" w:space="0" w:color="auto"/>
              <w:left w:val="nil"/>
              <w:bottom w:val="double" w:sz="6" w:space="0" w:color="auto"/>
              <w:right w:val="nil"/>
            </w:tcBorders>
            <w:shd w:val="clear" w:color="000000" w:fill="FFFFFF"/>
            <w:noWrap/>
            <w:vAlign w:val="bottom"/>
            <w:hideMark/>
          </w:tcPr>
          <w:p w14:paraId="41FB89FF" w14:textId="77777777" w:rsidR="001B5043" w:rsidRPr="001B5043" w:rsidRDefault="001B5043" w:rsidP="001B5043">
            <w:pPr>
              <w:spacing w:after="0" w:line="240" w:lineRule="auto"/>
              <w:jc w:val="right"/>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2028</w:t>
            </w:r>
          </w:p>
        </w:tc>
        <w:tc>
          <w:tcPr>
            <w:tcW w:w="386" w:type="pct"/>
            <w:tcBorders>
              <w:top w:val="single" w:sz="4" w:space="0" w:color="auto"/>
              <w:left w:val="nil"/>
              <w:bottom w:val="double" w:sz="6" w:space="0" w:color="auto"/>
              <w:right w:val="nil"/>
            </w:tcBorders>
            <w:shd w:val="clear" w:color="000000" w:fill="FFFFFF"/>
            <w:noWrap/>
            <w:vAlign w:val="bottom"/>
            <w:hideMark/>
          </w:tcPr>
          <w:p w14:paraId="69E9C8D0" w14:textId="77777777" w:rsidR="001B5043" w:rsidRPr="001B5043" w:rsidRDefault="001B5043" w:rsidP="001B5043">
            <w:pPr>
              <w:spacing w:after="0" w:line="240" w:lineRule="auto"/>
              <w:jc w:val="right"/>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2029</w:t>
            </w:r>
          </w:p>
        </w:tc>
      </w:tr>
      <w:tr w:rsidR="001B5043" w:rsidRPr="001B5043" w14:paraId="660865DB" w14:textId="77777777" w:rsidTr="004463E3">
        <w:trPr>
          <w:trHeight w:val="293"/>
        </w:trPr>
        <w:tc>
          <w:tcPr>
            <w:tcW w:w="759" w:type="pct"/>
            <w:tcBorders>
              <w:top w:val="nil"/>
              <w:left w:val="nil"/>
              <w:bottom w:val="nil"/>
              <w:right w:val="nil"/>
            </w:tcBorders>
            <w:shd w:val="clear" w:color="000000" w:fill="FFFFFF"/>
            <w:noWrap/>
            <w:vAlign w:val="bottom"/>
            <w:hideMark/>
          </w:tcPr>
          <w:p w14:paraId="7C925423" w14:textId="77777777" w:rsidR="001B5043" w:rsidRPr="001B5043" w:rsidRDefault="001B5043" w:rsidP="001B5043">
            <w:pPr>
              <w:spacing w:after="0" w:line="240" w:lineRule="auto"/>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Baseline</w:t>
            </w:r>
          </w:p>
        </w:tc>
        <w:tc>
          <w:tcPr>
            <w:tcW w:w="385" w:type="pct"/>
            <w:tcBorders>
              <w:top w:val="nil"/>
              <w:left w:val="nil"/>
              <w:bottom w:val="nil"/>
              <w:right w:val="nil"/>
            </w:tcBorders>
            <w:shd w:val="clear" w:color="000000" w:fill="FFFFFF"/>
            <w:noWrap/>
            <w:vAlign w:val="bottom"/>
            <w:hideMark/>
          </w:tcPr>
          <w:p w14:paraId="14B2C4B8"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 </w:t>
            </w:r>
          </w:p>
        </w:tc>
        <w:tc>
          <w:tcPr>
            <w:tcW w:w="385" w:type="pct"/>
            <w:tcBorders>
              <w:top w:val="nil"/>
              <w:left w:val="nil"/>
              <w:bottom w:val="nil"/>
              <w:right w:val="nil"/>
            </w:tcBorders>
            <w:shd w:val="clear" w:color="000000" w:fill="FFFFFF"/>
            <w:noWrap/>
            <w:vAlign w:val="bottom"/>
            <w:hideMark/>
          </w:tcPr>
          <w:p w14:paraId="29318004"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 </w:t>
            </w:r>
          </w:p>
        </w:tc>
        <w:tc>
          <w:tcPr>
            <w:tcW w:w="385" w:type="pct"/>
            <w:tcBorders>
              <w:top w:val="nil"/>
              <w:left w:val="nil"/>
              <w:bottom w:val="nil"/>
              <w:right w:val="nil"/>
            </w:tcBorders>
            <w:shd w:val="clear" w:color="000000" w:fill="FFFFFF"/>
            <w:noWrap/>
            <w:vAlign w:val="bottom"/>
            <w:hideMark/>
          </w:tcPr>
          <w:p w14:paraId="6B08E3A1"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 </w:t>
            </w:r>
          </w:p>
        </w:tc>
        <w:tc>
          <w:tcPr>
            <w:tcW w:w="387" w:type="pct"/>
            <w:tcBorders>
              <w:top w:val="nil"/>
              <w:left w:val="nil"/>
              <w:bottom w:val="nil"/>
              <w:right w:val="nil"/>
            </w:tcBorders>
            <w:shd w:val="clear" w:color="000000" w:fill="FFFFFF"/>
            <w:noWrap/>
            <w:vAlign w:val="bottom"/>
            <w:hideMark/>
          </w:tcPr>
          <w:p w14:paraId="4F1190F2"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 </w:t>
            </w:r>
          </w:p>
        </w:tc>
        <w:tc>
          <w:tcPr>
            <w:tcW w:w="385" w:type="pct"/>
            <w:tcBorders>
              <w:top w:val="nil"/>
              <w:left w:val="nil"/>
              <w:bottom w:val="nil"/>
              <w:right w:val="nil"/>
            </w:tcBorders>
            <w:shd w:val="clear" w:color="000000" w:fill="FFFFFF"/>
            <w:noWrap/>
            <w:vAlign w:val="bottom"/>
            <w:hideMark/>
          </w:tcPr>
          <w:p w14:paraId="6FF27EAF"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 </w:t>
            </w:r>
          </w:p>
        </w:tc>
        <w:tc>
          <w:tcPr>
            <w:tcW w:w="385" w:type="pct"/>
            <w:tcBorders>
              <w:top w:val="nil"/>
              <w:left w:val="nil"/>
              <w:bottom w:val="nil"/>
              <w:right w:val="nil"/>
            </w:tcBorders>
            <w:shd w:val="clear" w:color="000000" w:fill="FFFFFF"/>
            <w:noWrap/>
            <w:vAlign w:val="bottom"/>
            <w:hideMark/>
          </w:tcPr>
          <w:p w14:paraId="44F2F98F"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 </w:t>
            </w:r>
          </w:p>
        </w:tc>
        <w:tc>
          <w:tcPr>
            <w:tcW w:w="385" w:type="pct"/>
            <w:tcBorders>
              <w:top w:val="nil"/>
              <w:left w:val="nil"/>
              <w:bottom w:val="nil"/>
              <w:right w:val="nil"/>
            </w:tcBorders>
            <w:shd w:val="clear" w:color="000000" w:fill="FFFFFF"/>
            <w:noWrap/>
            <w:vAlign w:val="bottom"/>
            <w:hideMark/>
          </w:tcPr>
          <w:p w14:paraId="385CB1B3"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 </w:t>
            </w:r>
          </w:p>
        </w:tc>
        <w:tc>
          <w:tcPr>
            <w:tcW w:w="386" w:type="pct"/>
            <w:tcBorders>
              <w:top w:val="nil"/>
              <w:left w:val="nil"/>
              <w:bottom w:val="nil"/>
              <w:right w:val="nil"/>
            </w:tcBorders>
            <w:shd w:val="clear" w:color="000000" w:fill="FFFFFF"/>
            <w:noWrap/>
            <w:vAlign w:val="bottom"/>
            <w:hideMark/>
          </w:tcPr>
          <w:p w14:paraId="5719F632"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 </w:t>
            </w:r>
          </w:p>
        </w:tc>
        <w:tc>
          <w:tcPr>
            <w:tcW w:w="385" w:type="pct"/>
            <w:tcBorders>
              <w:top w:val="nil"/>
              <w:left w:val="nil"/>
              <w:bottom w:val="nil"/>
              <w:right w:val="nil"/>
            </w:tcBorders>
            <w:shd w:val="clear" w:color="000000" w:fill="FFFFFF"/>
            <w:noWrap/>
            <w:vAlign w:val="bottom"/>
            <w:hideMark/>
          </w:tcPr>
          <w:p w14:paraId="1A06B1A9"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 </w:t>
            </w:r>
          </w:p>
        </w:tc>
        <w:tc>
          <w:tcPr>
            <w:tcW w:w="385" w:type="pct"/>
            <w:tcBorders>
              <w:top w:val="nil"/>
              <w:left w:val="nil"/>
              <w:bottom w:val="nil"/>
              <w:right w:val="nil"/>
            </w:tcBorders>
            <w:shd w:val="clear" w:color="000000" w:fill="FFFFFF"/>
            <w:noWrap/>
            <w:vAlign w:val="bottom"/>
            <w:hideMark/>
          </w:tcPr>
          <w:p w14:paraId="0DDA5D8A"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 </w:t>
            </w:r>
          </w:p>
        </w:tc>
        <w:tc>
          <w:tcPr>
            <w:tcW w:w="386" w:type="pct"/>
            <w:tcBorders>
              <w:top w:val="nil"/>
              <w:left w:val="nil"/>
              <w:bottom w:val="nil"/>
              <w:right w:val="nil"/>
            </w:tcBorders>
            <w:shd w:val="clear" w:color="000000" w:fill="FFFFFF"/>
            <w:noWrap/>
            <w:vAlign w:val="bottom"/>
            <w:hideMark/>
          </w:tcPr>
          <w:p w14:paraId="0D433301" w14:textId="77777777" w:rsidR="001B5043" w:rsidRPr="001B5043" w:rsidRDefault="001B5043" w:rsidP="001B5043">
            <w:pPr>
              <w:spacing w:after="0" w:line="240" w:lineRule="auto"/>
              <w:jc w:val="center"/>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 </w:t>
            </w:r>
          </w:p>
        </w:tc>
      </w:tr>
      <w:tr w:rsidR="004463E3" w:rsidRPr="001B5043" w14:paraId="6E213BD3" w14:textId="77777777" w:rsidTr="008A7FD7">
        <w:trPr>
          <w:trHeight w:val="315"/>
        </w:trPr>
        <w:tc>
          <w:tcPr>
            <w:tcW w:w="759" w:type="pct"/>
            <w:tcBorders>
              <w:top w:val="nil"/>
              <w:left w:val="nil"/>
              <w:bottom w:val="nil"/>
              <w:right w:val="nil"/>
            </w:tcBorders>
            <w:shd w:val="clear" w:color="000000" w:fill="FDE9D9"/>
            <w:noWrap/>
            <w:vAlign w:val="bottom"/>
            <w:hideMark/>
          </w:tcPr>
          <w:p w14:paraId="6B38811C"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Live Tree CO2 Baseline</w:t>
            </w:r>
          </w:p>
        </w:tc>
        <w:tc>
          <w:tcPr>
            <w:tcW w:w="385" w:type="pct"/>
            <w:tcBorders>
              <w:top w:val="nil"/>
              <w:left w:val="nil"/>
              <w:bottom w:val="nil"/>
              <w:right w:val="nil"/>
            </w:tcBorders>
            <w:shd w:val="clear" w:color="000000" w:fill="FDE9D9"/>
            <w:noWrap/>
            <w:vAlign w:val="bottom"/>
          </w:tcPr>
          <w:p w14:paraId="71BE075B" w14:textId="536FA4A2"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2,211,273.5</w:t>
            </w:r>
          </w:p>
        </w:tc>
        <w:tc>
          <w:tcPr>
            <w:tcW w:w="385" w:type="pct"/>
            <w:tcBorders>
              <w:top w:val="nil"/>
              <w:left w:val="nil"/>
              <w:bottom w:val="nil"/>
              <w:right w:val="nil"/>
            </w:tcBorders>
            <w:shd w:val="clear" w:color="000000" w:fill="FDE9D9"/>
            <w:noWrap/>
            <w:vAlign w:val="bottom"/>
          </w:tcPr>
          <w:p w14:paraId="222D1563" w14:textId="7D0BCF7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2,013,616.2</w:t>
            </w:r>
          </w:p>
        </w:tc>
        <w:tc>
          <w:tcPr>
            <w:tcW w:w="385" w:type="pct"/>
            <w:tcBorders>
              <w:top w:val="nil"/>
              <w:left w:val="nil"/>
              <w:bottom w:val="nil"/>
              <w:right w:val="nil"/>
            </w:tcBorders>
            <w:shd w:val="clear" w:color="000000" w:fill="FDE9D9"/>
            <w:noWrap/>
            <w:vAlign w:val="bottom"/>
          </w:tcPr>
          <w:p w14:paraId="369A3D06" w14:textId="4921EDC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1,930,176.5</w:t>
            </w:r>
          </w:p>
        </w:tc>
        <w:tc>
          <w:tcPr>
            <w:tcW w:w="387" w:type="pct"/>
            <w:tcBorders>
              <w:top w:val="nil"/>
              <w:left w:val="nil"/>
              <w:bottom w:val="nil"/>
              <w:right w:val="nil"/>
            </w:tcBorders>
            <w:shd w:val="clear" w:color="000000" w:fill="FDE9D9"/>
            <w:noWrap/>
            <w:vAlign w:val="bottom"/>
          </w:tcPr>
          <w:p w14:paraId="5623E2A6" w14:textId="35ACC3E4"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1,840,025.0</w:t>
            </w:r>
          </w:p>
        </w:tc>
        <w:tc>
          <w:tcPr>
            <w:tcW w:w="385" w:type="pct"/>
            <w:tcBorders>
              <w:top w:val="nil"/>
              <w:left w:val="nil"/>
              <w:bottom w:val="nil"/>
              <w:right w:val="nil"/>
            </w:tcBorders>
            <w:shd w:val="clear" w:color="000000" w:fill="FDE9D9"/>
            <w:noWrap/>
            <w:vAlign w:val="bottom"/>
          </w:tcPr>
          <w:p w14:paraId="39BAE17B" w14:textId="1FC8CAD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1,746,045.8</w:t>
            </w:r>
          </w:p>
        </w:tc>
        <w:tc>
          <w:tcPr>
            <w:tcW w:w="385" w:type="pct"/>
            <w:tcBorders>
              <w:top w:val="nil"/>
              <w:left w:val="nil"/>
              <w:bottom w:val="nil"/>
              <w:right w:val="nil"/>
            </w:tcBorders>
            <w:shd w:val="clear" w:color="000000" w:fill="FDE9D9"/>
            <w:noWrap/>
            <w:vAlign w:val="bottom"/>
          </w:tcPr>
          <w:p w14:paraId="51690A18" w14:textId="7519D6A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1,648,793.0</w:t>
            </w:r>
          </w:p>
        </w:tc>
        <w:tc>
          <w:tcPr>
            <w:tcW w:w="385" w:type="pct"/>
            <w:tcBorders>
              <w:top w:val="nil"/>
              <w:left w:val="nil"/>
              <w:bottom w:val="nil"/>
              <w:right w:val="nil"/>
            </w:tcBorders>
            <w:shd w:val="clear" w:color="000000" w:fill="FDE9D9"/>
            <w:noWrap/>
            <w:vAlign w:val="bottom"/>
          </w:tcPr>
          <w:p w14:paraId="45B50F76" w14:textId="7B4D4C0A"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1,547,952.9</w:t>
            </w:r>
          </w:p>
        </w:tc>
        <w:tc>
          <w:tcPr>
            <w:tcW w:w="386" w:type="pct"/>
            <w:tcBorders>
              <w:top w:val="nil"/>
              <w:left w:val="nil"/>
              <w:bottom w:val="nil"/>
              <w:right w:val="nil"/>
            </w:tcBorders>
            <w:shd w:val="clear" w:color="000000" w:fill="FDE9D9"/>
            <w:noWrap/>
            <w:vAlign w:val="bottom"/>
          </w:tcPr>
          <w:p w14:paraId="4E1F0C6A" w14:textId="5F6B0774"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1,443,830.3</w:t>
            </w:r>
          </w:p>
        </w:tc>
        <w:tc>
          <w:tcPr>
            <w:tcW w:w="385" w:type="pct"/>
            <w:tcBorders>
              <w:top w:val="nil"/>
              <w:left w:val="nil"/>
              <w:bottom w:val="nil"/>
              <w:right w:val="nil"/>
            </w:tcBorders>
            <w:shd w:val="clear" w:color="000000" w:fill="FDE9D9"/>
            <w:noWrap/>
            <w:vAlign w:val="bottom"/>
          </w:tcPr>
          <w:p w14:paraId="182C2397" w14:textId="2809D5A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1,336,602.8</w:t>
            </w:r>
          </w:p>
        </w:tc>
        <w:tc>
          <w:tcPr>
            <w:tcW w:w="385" w:type="pct"/>
            <w:tcBorders>
              <w:top w:val="nil"/>
              <w:left w:val="nil"/>
              <w:bottom w:val="nil"/>
              <w:right w:val="nil"/>
            </w:tcBorders>
            <w:shd w:val="clear" w:color="000000" w:fill="FDE9D9"/>
            <w:noWrap/>
            <w:vAlign w:val="bottom"/>
          </w:tcPr>
          <w:p w14:paraId="705E0C9A" w14:textId="1C56C38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1,225,971.0</w:t>
            </w:r>
          </w:p>
        </w:tc>
        <w:tc>
          <w:tcPr>
            <w:tcW w:w="386" w:type="pct"/>
            <w:tcBorders>
              <w:top w:val="nil"/>
              <w:left w:val="nil"/>
              <w:bottom w:val="nil"/>
              <w:right w:val="nil"/>
            </w:tcBorders>
            <w:shd w:val="clear" w:color="000000" w:fill="FDE9D9"/>
            <w:noWrap/>
            <w:vAlign w:val="bottom"/>
          </w:tcPr>
          <w:p w14:paraId="63166B5A" w14:textId="47972985"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1,111,963.6</w:t>
            </w:r>
          </w:p>
        </w:tc>
      </w:tr>
      <w:tr w:rsidR="004463E3" w:rsidRPr="001B5043" w14:paraId="76CAB190" w14:textId="77777777" w:rsidTr="008A7FD7">
        <w:trPr>
          <w:trHeight w:val="315"/>
        </w:trPr>
        <w:tc>
          <w:tcPr>
            <w:tcW w:w="759" w:type="pct"/>
            <w:tcBorders>
              <w:top w:val="nil"/>
              <w:left w:val="nil"/>
              <w:bottom w:val="nil"/>
              <w:right w:val="nil"/>
            </w:tcBorders>
            <w:shd w:val="clear" w:color="000000" w:fill="FDE9D9"/>
            <w:noWrap/>
            <w:vAlign w:val="bottom"/>
            <w:hideMark/>
          </w:tcPr>
          <w:p w14:paraId="0C010F95"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Standing dead CO2 Baseline</w:t>
            </w:r>
          </w:p>
        </w:tc>
        <w:tc>
          <w:tcPr>
            <w:tcW w:w="385" w:type="pct"/>
            <w:tcBorders>
              <w:top w:val="nil"/>
              <w:left w:val="nil"/>
              <w:bottom w:val="nil"/>
              <w:right w:val="nil"/>
            </w:tcBorders>
            <w:shd w:val="clear" w:color="000000" w:fill="FDE9D9"/>
            <w:noWrap/>
            <w:vAlign w:val="bottom"/>
          </w:tcPr>
          <w:p w14:paraId="1FBF7968" w14:textId="0D209E4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44,093.9</w:t>
            </w:r>
          </w:p>
        </w:tc>
        <w:tc>
          <w:tcPr>
            <w:tcW w:w="385" w:type="pct"/>
            <w:tcBorders>
              <w:top w:val="nil"/>
              <w:left w:val="nil"/>
              <w:bottom w:val="nil"/>
              <w:right w:val="nil"/>
            </w:tcBorders>
            <w:shd w:val="clear" w:color="000000" w:fill="FDE9D9"/>
            <w:noWrap/>
            <w:vAlign w:val="bottom"/>
          </w:tcPr>
          <w:p w14:paraId="0FA1600E" w14:textId="3763A2F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42,823.5</w:t>
            </w:r>
          </w:p>
        </w:tc>
        <w:tc>
          <w:tcPr>
            <w:tcW w:w="385" w:type="pct"/>
            <w:tcBorders>
              <w:top w:val="nil"/>
              <w:left w:val="nil"/>
              <w:bottom w:val="nil"/>
              <w:right w:val="nil"/>
            </w:tcBorders>
            <w:shd w:val="clear" w:color="000000" w:fill="FDE9D9"/>
            <w:noWrap/>
            <w:vAlign w:val="bottom"/>
          </w:tcPr>
          <w:p w14:paraId="3CEEA153" w14:textId="046EB90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37,961.9</w:t>
            </w:r>
          </w:p>
        </w:tc>
        <w:tc>
          <w:tcPr>
            <w:tcW w:w="387" w:type="pct"/>
            <w:tcBorders>
              <w:top w:val="nil"/>
              <w:left w:val="nil"/>
              <w:bottom w:val="nil"/>
              <w:right w:val="nil"/>
            </w:tcBorders>
            <w:shd w:val="clear" w:color="000000" w:fill="FDE9D9"/>
            <w:noWrap/>
            <w:vAlign w:val="bottom"/>
          </w:tcPr>
          <w:p w14:paraId="29AFB563" w14:textId="26BD8508"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33,757.6</w:t>
            </w:r>
          </w:p>
        </w:tc>
        <w:tc>
          <w:tcPr>
            <w:tcW w:w="385" w:type="pct"/>
            <w:tcBorders>
              <w:top w:val="nil"/>
              <w:left w:val="nil"/>
              <w:bottom w:val="nil"/>
              <w:right w:val="nil"/>
            </w:tcBorders>
            <w:shd w:val="clear" w:color="000000" w:fill="FDE9D9"/>
            <w:noWrap/>
            <w:vAlign w:val="bottom"/>
          </w:tcPr>
          <w:p w14:paraId="54CE4E56" w14:textId="4FA559E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29,532.6</w:t>
            </w:r>
          </w:p>
        </w:tc>
        <w:tc>
          <w:tcPr>
            <w:tcW w:w="385" w:type="pct"/>
            <w:tcBorders>
              <w:top w:val="nil"/>
              <w:left w:val="nil"/>
              <w:bottom w:val="nil"/>
              <w:right w:val="nil"/>
            </w:tcBorders>
            <w:shd w:val="clear" w:color="000000" w:fill="FDE9D9"/>
            <w:noWrap/>
            <w:vAlign w:val="bottom"/>
          </w:tcPr>
          <w:p w14:paraId="09A01C00" w14:textId="295B126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25,681.9</w:t>
            </w:r>
          </w:p>
        </w:tc>
        <w:tc>
          <w:tcPr>
            <w:tcW w:w="385" w:type="pct"/>
            <w:tcBorders>
              <w:top w:val="nil"/>
              <w:left w:val="nil"/>
              <w:bottom w:val="nil"/>
              <w:right w:val="nil"/>
            </w:tcBorders>
            <w:shd w:val="clear" w:color="000000" w:fill="FDE9D9"/>
            <w:noWrap/>
            <w:vAlign w:val="bottom"/>
          </w:tcPr>
          <w:p w14:paraId="5E5EEEE9" w14:textId="25DE4DF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21,755.9</w:t>
            </w:r>
          </w:p>
        </w:tc>
        <w:tc>
          <w:tcPr>
            <w:tcW w:w="386" w:type="pct"/>
            <w:tcBorders>
              <w:top w:val="nil"/>
              <w:left w:val="nil"/>
              <w:bottom w:val="nil"/>
              <w:right w:val="nil"/>
            </w:tcBorders>
            <w:shd w:val="clear" w:color="000000" w:fill="FDE9D9"/>
            <w:noWrap/>
            <w:vAlign w:val="bottom"/>
          </w:tcPr>
          <w:p w14:paraId="7B004259" w14:textId="5C62C8D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18,527.8</w:t>
            </w:r>
          </w:p>
        </w:tc>
        <w:tc>
          <w:tcPr>
            <w:tcW w:w="385" w:type="pct"/>
            <w:tcBorders>
              <w:top w:val="nil"/>
              <w:left w:val="nil"/>
              <w:bottom w:val="nil"/>
              <w:right w:val="nil"/>
            </w:tcBorders>
            <w:shd w:val="clear" w:color="000000" w:fill="FDE9D9"/>
            <w:noWrap/>
            <w:vAlign w:val="bottom"/>
          </w:tcPr>
          <w:p w14:paraId="53FE4B23" w14:textId="54BEAE99"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16,248.3</w:t>
            </w:r>
          </w:p>
        </w:tc>
        <w:tc>
          <w:tcPr>
            <w:tcW w:w="385" w:type="pct"/>
            <w:tcBorders>
              <w:top w:val="nil"/>
              <w:left w:val="nil"/>
              <w:bottom w:val="nil"/>
              <w:right w:val="nil"/>
            </w:tcBorders>
            <w:shd w:val="clear" w:color="000000" w:fill="FDE9D9"/>
            <w:noWrap/>
            <w:vAlign w:val="bottom"/>
          </w:tcPr>
          <w:p w14:paraId="5D9572D4" w14:textId="323D1806"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14,664.8</w:t>
            </w:r>
          </w:p>
        </w:tc>
        <w:tc>
          <w:tcPr>
            <w:tcW w:w="386" w:type="pct"/>
            <w:tcBorders>
              <w:top w:val="nil"/>
              <w:left w:val="nil"/>
              <w:bottom w:val="nil"/>
              <w:right w:val="nil"/>
            </w:tcBorders>
            <w:shd w:val="clear" w:color="000000" w:fill="FDE9D9"/>
            <w:noWrap/>
            <w:vAlign w:val="bottom"/>
          </w:tcPr>
          <w:p w14:paraId="4963052F" w14:textId="6CCF5BF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12,990.0</w:t>
            </w:r>
          </w:p>
        </w:tc>
      </w:tr>
      <w:tr w:rsidR="004463E3" w:rsidRPr="001B5043" w14:paraId="5E125343" w14:textId="77777777" w:rsidTr="008A7FD7">
        <w:trPr>
          <w:trHeight w:val="315"/>
        </w:trPr>
        <w:tc>
          <w:tcPr>
            <w:tcW w:w="759" w:type="pct"/>
            <w:tcBorders>
              <w:top w:val="nil"/>
              <w:left w:val="nil"/>
              <w:bottom w:val="nil"/>
              <w:right w:val="nil"/>
            </w:tcBorders>
            <w:shd w:val="clear" w:color="000000" w:fill="FDE9D9"/>
            <w:noWrap/>
            <w:vAlign w:val="bottom"/>
            <w:hideMark/>
          </w:tcPr>
          <w:p w14:paraId="590AEB2E"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HWP Baseline</w:t>
            </w:r>
          </w:p>
        </w:tc>
        <w:tc>
          <w:tcPr>
            <w:tcW w:w="385" w:type="pct"/>
            <w:tcBorders>
              <w:top w:val="nil"/>
              <w:left w:val="nil"/>
              <w:bottom w:val="nil"/>
              <w:right w:val="nil"/>
            </w:tcBorders>
            <w:shd w:val="clear" w:color="000000" w:fill="FDE9D9"/>
            <w:noWrap/>
            <w:vAlign w:val="bottom"/>
          </w:tcPr>
          <w:p w14:paraId="12ED25F2" w14:textId="6A0919DB"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DE9D9"/>
            <w:noWrap/>
            <w:vAlign w:val="bottom"/>
          </w:tcPr>
          <w:p w14:paraId="2ED56D69" w14:textId="7A31C6B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14,933.4</w:t>
            </w:r>
          </w:p>
        </w:tc>
        <w:tc>
          <w:tcPr>
            <w:tcW w:w="385" w:type="pct"/>
            <w:tcBorders>
              <w:top w:val="nil"/>
              <w:left w:val="nil"/>
              <w:bottom w:val="nil"/>
              <w:right w:val="nil"/>
            </w:tcBorders>
            <w:shd w:val="clear" w:color="000000" w:fill="FDE9D9"/>
            <w:noWrap/>
            <w:vAlign w:val="bottom"/>
          </w:tcPr>
          <w:p w14:paraId="4CD32D56" w14:textId="62A04FDD"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14,933.4</w:t>
            </w:r>
          </w:p>
        </w:tc>
        <w:tc>
          <w:tcPr>
            <w:tcW w:w="387" w:type="pct"/>
            <w:tcBorders>
              <w:top w:val="nil"/>
              <w:left w:val="nil"/>
              <w:bottom w:val="nil"/>
              <w:right w:val="nil"/>
            </w:tcBorders>
            <w:shd w:val="clear" w:color="000000" w:fill="FDE9D9"/>
            <w:noWrap/>
            <w:vAlign w:val="bottom"/>
          </w:tcPr>
          <w:p w14:paraId="5C7F0E10" w14:textId="3B24A9ED"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14,933.4</w:t>
            </w:r>
          </w:p>
        </w:tc>
        <w:tc>
          <w:tcPr>
            <w:tcW w:w="385" w:type="pct"/>
            <w:tcBorders>
              <w:top w:val="nil"/>
              <w:left w:val="nil"/>
              <w:bottom w:val="nil"/>
              <w:right w:val="nil"/>
            </w:tcBorders>
            <w:shd w:val="clear" w:color="000000" w:fill="FDE9D9"/>
            <w:noWrap/>
            <w:vAlign w:val="bottom"/>
          </w:tcPr>
          <w:p w14:paraId="114B6324" w14:textId="0897BE5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14,933.4</w:t>
            </w:r>
          </w:p>
        </w:tc>
        <w:tc>
          <w:tcPr>
            <w:tcW w:w="385" w:type="pct"/>
            <w:tcBorders>
              <w:top w:val="nil"/>
              <w:left w:val="nil"/>
              <w:bottom w:val="nil"/>
              <w:right w:val="nil"/>
            </w:tcBorders>
            <w:shd w:val="clear" w:color="000000" w:fill="FDE9D9"/>
            <w:noWrap/>
            <w:vAlign w:val="bottom"/>
          </w:tcPr>
          <w:p w14:paraId="14272210" w14:textId="406EEAC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14,933.4</w:t>
            </w:r>
          </w:p>
        </w:tc>
        <w:tc>
          <w:tcPr>
            <w:tcW w:w="385" w:type="pct"/>
            <w:tcBorders>
              <w:top w:val="nil"/>
              <w:left w:val="nil"/>
              <w:bottom w:val="nil"/>
              <w:right w:val="nil"/>
            </w:tcBorders>
            <w:shd w:val="clear" w:color="000000" w:fill="FDE9D9"/>
            <w:noWrap/>
            <w:vAlign w:val="bottom"/>
          </w:tcPr>
          <w:p w14:paraId="3C528C51" w14:textId="7A308FFA"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14,933.4</w:t>
            </w:r>
          </w:p>
        </w:tc>
        <w:tc>
          <w:tcPr>
            <w:tcW w:w="386" w:type="pct"/>
            <w:tcBorders>
              <w:top w:val="nil"/>
              <w:left w:val="nil"/>
              <w:bottom w:val="nil"/>
              <w:right w:val="nil"/>
            </w:tcBorders>
            <w:shd w:val="clear" w:color="000000" w:fill="FDE9D9"/>
            <w:noWrap/>
            <w:vAlign w:val="bottom"/>
          </w:tcPr>
          <w:p w14:paraId="45DDC45C" w14:textId="34106DE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14,933.4</w:t>
            </w:r>
          </w:p>
        </w:tc>
        <w:tc>
          <w:tcPr>
            <w:tcW w:w="385" w:type="pct"/>
            <w:tcBorders>
              <w:top w:val="nil"/>
              <w:left w:val="nil"/>
              <w:bottom w:val="nil"/>
              <w:right w:val="nil"/>
            </w:tcBorders>
            <w:shd w:val="clear" w:color="000000" w:fill="FDE9D9"/>
            <w:noWrap/>
            <w:vAlign w:val="bottom"/>
          </w:tcPr>
          <w:p w14:paraId="67C2DB74" w14:textId="7555B33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14,933.4</w:t>
            </w:r>
          </w:p>
        </w:tc>
        <w:tc>
          <w:tcPr>
            <w:tcW w:w="385" w:type="pct"/>
            <w:tcBorders>
              <w:top w:val="nil"/>
              <w:left w:val="nil"/>
              <w:bottom w:val="nil"/>
              <w:right w:val="nil"/>
            </w:tcBorders>
            <w:shd w:val="clear" w:color="000000" w:fill="FDE9D9"/>
            <w:noWrap/>
            <w:vAlign w:val="bottom"/>
          </w:tcPr>
          <w:p w14:paraId="3969EFC5" w14:textId="720CB24D"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14,933.4</w:t>
            </w:r>
          </w:p>
        </w:tc>
        <w:tc>
          <w:tcPr>
            <w:tcW w:w="386" w:type="pct"/>
            <w:tcBorders>
              <w:top w:val="nil"/>
              <w:left w:val="nil"/>
              <w:bottom w:val="nil"/>
              <w:right w:val="nil"/>
            </w:tcBorders>
            <w:shd w:val="clear" w:color="000000" w:fill="FDE9D9"/>
            <w:noWrap/>
            <w:vAlign w:val="bottom"/>
          </w:tcPr>
          <w:p w14:paraId="3020315C" w14:textId="6C2116CD"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14,933.4</w:t>
            </w:r>
          </w:p>
        </w:tc>
      </w:tr>
      <w:tr w:rsidR="004463E3" w:rsidRPr="001B5043" w14:paraId="27DE8E5E" w14:textId="77777777" w:rsidTr="008A7FD7">
        <w:trPr>
          <w:trHeight w:val="285"/>
        </w:trPr>
        <w:tc>
          <w:tcPr>
            <w:tcW w:w="759" w:type="pct"/>
            <w:tcBorders>
              <w:top w:val="nil"/>
              <w:left w:val="nil"/>
              <w:bottom w:val="nil"/>
              <w:right w:val="nil"/>
            </w:tcBorders>
            <w:shd w:val="clear" w:color="auto" w:fill="auto"/>
            <w:noWrap/>
            <w:vAlign w:val="bottom"/>
            <w:hideMark/>
          </w:tcPr>
          <w:p w14:paraId="00111E11"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sum stocks</w:t>
            </w:r>
          </w:p>
        </w:tc>
        <w:tc>
          <w:tcPr>
            <w:tcW w:w="385" w:type="pct"/>
            <w:tcBorders>
              <w:top w:val="nil"/>
              <w:left w:val="nil"/>
              <w:bottom w:val="nil"/>
              <w:right w:val="nil"/>
            </w:tcBorders>
            <w:shd w:val="clear" w:color="auto" w:fill="auto"/>
            <w:noWrap/>
            <w:vAlign w:val="bottom"/>
          </w:tcPr>
          <w:p w14:paraId="2BBB14CB" w14:textId="4C74A6CA"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2,255,367.4</w:t>
            </w:r>
          </w:p>
        </w:tc>
        <w:tc>
          <w:tcPr>
            <w:tcW w:w="385" w:type="pct"/>
            <w:tcBorders>
              <w:top w:val="nil"/>
              <w:left w:val="nil"/>
              <w:bottom w:val="nil"/>
              <w:right w:val="nil"/>
            </w:tcBorders>
            <w:shd w:val="clear" w:color="auto" w:fill="auto"/>
            <w:noWrap/>
            <w:vAlign w:val="bottom"/>
          </w:tcPr>
          <w:p w14:paraId="43198671" w14:textId="322F780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2,071,373.1</w:t>
            </w:r>
          </w:p>
        </w:tc>
        <w:tc>
          <w:tcPr>
            <w:tcW w:w="385" w:type="pct"/>
            <w:tcBorders>
              <w:top w:val="nil"/>
              <w:left w:val="nil"/>
              <w:bottom w:val="nil"/>
              <w:right w:val="nil"/>
            </w:tcBorders>
            <w:shd w:val="clear" w:color="auto" w:fill="auto"/>
            <w:noWrap/>
            <w:vAlign w:val="bottom"/>
          </w:tcPr>
          <w:p w14:paraId="4547643C" w14:textId="621BE2C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1,998,005.3</w:t>
            </w:r>
          </w:p>
        </w:tc>
        <w:tc>
          <w:tcPr>
            <w:tcW w:w="387" w:type="pct"/>
            <w:tcBorders>
              <w:top w:val="nil"/>
              <w:left w:val="nil"/>
              <w:bottom w:val="nil"/>
              <w:right w:val="nil"/>
            </w:tcBorders>
            <w:shd w:val="clear" w:color="auto" w:fill="auto"/>
            <w:noWrap/>
            <w:vAlign w:val="bottom"/>
          </w:tcPr>
          <w:p w14:paraId="5EDD1AB3" w14:textId="62D6F3E2"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1,918,582.8</w:t>
            </w:r>
          </w:p>
        </w:tc>
        <w:tc>
          <w:tcPr>
            <w:tcW w:w="385" w:type="pct"/>
            <w:tcBorders>
              <w:top w:val="nil"/>
              <w:left w:val="nil"/>
              <w:bottom w:val="nil"/>
              <w:right w:val="nil"/>
            </w:tcBorders>
            <w:shd w:val="clear" w:color="auto" w:fill="auto"/>
            <w:noWrap/>
            <w:vAlign w:val="bottom"/>
          </w:tcPr>
          <w:p w14:paraId="63563B1D" w14:textId="6B5702E9"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1,835,312.1</w:t>
            </w:r>
          </w:p>
        </w:tc>
        <w:tc>
          <w:tcPr>
            <w:tcW w:w="385" w:type="pct"/>
            <w:tcBorders>
              <w:top w:val="nil"/>
              <w:left w:val="nil"/>
              <w:bottom w:val="nil"/>
              <w:right w:val="nil"/>
            </w:tcBorders>
            <w:shd w:val="clear" w:color="auto" w:fill="auto"/>
            <w:noWrap/>
            <w:vAlign w:val="bottom"/>
          </w:tcPr>
          <w:p w14:paraId="7E26AB90" w14:textId="04178E5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1,749,142.0</w:t>
            </w:r>
          </w:p>
        </w:tc>
        <w:tc>
          <w:tcPr>
            <w:tcW w:w="385" w:type="pct"/>
            <w:tcBorders>
              <w:top w:val="nil"/>
              <w:left w:val="nil"/>
              <w:bottom w:val="nil"/>
              <w:right w:val="nil"/>
            </w:tcBorders>
            <w:shd w:val="clear" w:color="auto" w:fill="auto"/>
            <w:noWrap/>
            <w:vAlign w:val="bottom"/>
          </w:tcPr>
          <w:p w14:paraId="2C909FF6" w14:textId="16BD916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1,659,309.4</w:t>
            </w:r>
          </w:p>
        </w:tc>
        <w:tc>
          <w:tcPr>
            <w:tcW w:w="386" w:type="pct"/>
            <w:tcBorders>
              <w:top w:val="nil"/>
              <w:left w:val="nil"/>
              <w:bottom w:val="nil"/>
              <w:right w:val="nil"/>
            </w:tcBorders>
            <w:shd w:val="clear" w:color="auto" w:fill="auto"/>
            <w:noWrap/>
            <w:vAlign w:val="bottom"/>
          </w:tcPr>
          <w:p w14:paraId="43556287" w14:textId="017EF8E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1,566,892.0</w:t>
            </w:r>
          </w:p>
        </w:tc>
        <w:tc>
          <w:tcPr>
            <w:tcW w:w="385" w:type="pct"/>
            <w:tcBorders>
              <w:top w:val="nil"/>
              <w:left w:val="nil"/>
              <w:bottom w:val="nil"/>
              <w:right w:val="nil"/>
            </w:tcBorders>
            <w:shd w:val="clear" w:color="auto" w:fill="auto"/>
            <w:noWrap/>
            <w:vAlign w:val="bottom"/>
          </w:tcPr>
          <w:p w14:paraId="3DB1BDCB" w14:textId="7F2068E5"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1,472,318.4</w:t>
            </w:r>
          </w:p>
        </w:tc>
        <w:tc>
          <w:tcPr>
            <w:tcW w:w="385" w:type="pct"/>
            <w:tcBorders>
              <w:top w:val="nil"/>
              <w:left w:val="nil"/>
              <w:bottom w:val="nil"/>
              <w:right w:val="nil"/>
            </w:tcBorders>
            <w:shd w:val="clear" w:color="auto" w:fill="auto"/>
            <w:noWrap/>
            <w:vAlign w:val="bottom"/>
          </w:tcPr>
          <w:p w14:paraId="66CAEC09" w14:textId="1965205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1,375,036.5</w:t>
            </w:r>
          </w:p>
        </w:tc>
        <w:tc>
          <w:tcPr>
            <w:tcW w:w="386" w:type="pct"/>
            <w:tcBorders>
              <w:top w:val="nil"/>
              <w:left w:val="nil"/>
              <w:bottom w:val="nil"/>
              <w:right w:val="nil"/>
            </w:tcBorders>
            <w:shd w:val="clear" w:color="auto" w:fill="auto"/>
            <w:noWrap/>
            <w:vAlign w:val="bottom"/>
          </w:tcPr>
          <w:p w14:paraId="11CE0690" w14:textId="579768E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1,274,287.8</w:t>
            </w:r>
          </w:p>
        </w:tc>
      </w:tr>
      <w:tr w:rsidR="004463E3" w:rsidRPr="001B5043" w14:paraId="1513D967" w14:textId="77777777" w:rsidTr="008A7FD7">
        <w:trPr>
          <w:trHeight w:val="315"/>
        </w:trPr>
        <w:tc>
          <w:tcPr>
            <w:tcW w:w="759" w:type="pct"/>
            <w:tcBorders>
              <w:top w:val="nil"/>
              <w:left w:val="nil"/>
              <w:bottom w:val="nil"/>
              <w:right w:val="nil"/>
            </w:tcBorders>
            <w:shd w:val="clear" w:color="000000" w:fill="FFFFFF"/>
            <w:noWrap/>
            <w:vAlign w:val="bottom"/>
            <w:hideMark/>
          </w:tcPr>
          <w:p w14:paraId="20086DA3"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20yr Avg Baseline</w:t>
            </w:r>
          </w:p>
        </w:tc>
        <w:tc>
          <w:tcPr>
            <w:tcW w:w="385" w:type="pct"/>
            <w:tcBorders>
              <w:top w:val="nil"/>
              <w:left w:val="nil"/>
              <w:bottom w:val="nil"/>
              <w:right w:val="nil"/>
            </w:tcBorders>
            <w:shd w:val="clear" w:color="000000" w:fill="FFFFFF"/>
            <w:noWrap/>
            <w:vAlign w:val="bottom"/>
          </w:tcPr>
          <w:p w14:paraId="7E62D69C" w14:textId="669F3217"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30D01B0E" w14:textId="04517899"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1,196,262.3</w:t>
            </w:r>
          </w:p>
        </w:tc>
        <w:tc>
          <w:tcPr>
            <w:tcW w:w="385" w:type="pct"/>
            <w:tcBorders>
              <w:top w:val="nil"/>
              <w:left w:val="nil"/>
              <w:bottom w:val="nil"/>
              <w:right w:val="nil"/>
            </w:tcBorders>
            <w:shd w:val="clear" w:color="000000" w:fill="FFFFFF"/>
            <w:noWrap/>
            <w:vAlign w:val="bottom"/>
          </w:tcPr>
          <w:p w14:paraId="3AAAAFA5" w14:textId="448C29B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1,196,262.3</w:t>
            </w:r>
          </w:p>
        </w:tc>
        <w:tc>
          <w:tcPr>
            <w:tcW w:w="387" w:type="pct"/>
            <w:tcBorders>
              <w:top w:val="nil"/>
              <w:left w:val="nil"/>
              <w:bottom w:val="nil"/>
              <w:right w:val="nil"/>
            </w:tcBorders>
            <w:shd w:val="clear" w:color="000000" w:fill="FFFFFF"/>
            <w:noWrap/>
            <w:vAlign w:val="bottom"/>
          </w:tcPr>
          <w:p w14:paraId="41211253" w14:textId="502880A2"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1,196,262.3</w:t>
            </w:r>
          </w:p>
        </w:tc>
        <w:tc>
          <w:tcPr>
            <w:tcW w:w="385" w:type="pct"/>
            <w:tcBorders>
              <w:top w:val="nil"/>
              <w:left w:val="nil"/>
              <w:bottom w:val="nil"/>
              <w:right w:val="nil"/>
            </w:tcBorders>
            <w:shd w:val="clear" w:color="000000" w:fill="FFFFFF"/>
            <w:noWrap/>
            <w:vAlign w:val="bottom"/>
          </w:tcPr>
          <w:p w14:paraId="2CC8DBA3" w14:textId="3CDBA11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1,196,262.3</w:t>
            </w:r>
          </w:p>
        </w:tc>
        <w:tc>
          <w:tcPr>
            <w:tcW w:w="385" w:type="pct"/>
            <w:tcBorders>
              <w:top w:val="nil"/>
              <w:left w:val="nil"/>
              <w:bottom w:val="nil"/>
              <w:right w:val="nil"/>
            </w:tcBorders>
            <w:shd w:val="clear" w:color="000000" w:fill="FFFFFF"/>
            <w:noWrap/>
            <w:vAlign w:val="bottom"/>
          </w:tcPr>
          <w:p w14:paraId="309EBBC1" w14:textId="50BED75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1,196,262.3</w:t>
            </w:r>
          </w:p>
        </w:tc>
        <w:tc>
          <w:tcPr>
            <w:tcW w:w="385" w:type="pct"/>
            <w:tcBorders>
              <w:top w:val="nil"/>
              <w:left w:val="nil"/>
              <w:bottom w:val="nil"/>
              <w:right w:val="nil"/>
            </w:tcBorders>
            <w:shd w:val="clear" w:color="000000" w:fill="FFFFFF"/>
            <w:noWrap/>
            <w:vAlign w:val="bottom"/>
          </w:tcPr>
          <w:p w14:paraId="5495B626" w14:textId="4457764D"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1,196,262.3</w:t>
            </w:r>
          </w:p>
        </w:tc>
        <w:tc>
          <w:tcPr>
            <w:tcW w:w="386" w:type="pct"/>
            <w:tcBorders>
              <w:top w:val="nil"/>
              <w:left w:val="nil"/>
              <w:bottom w:val="nil"/>
              <w:right w:val="nil"/>
            </w:tcBorders>
            <w:shd w:val="clear" w:color="000000" w:fill="FFFFFF"/>
            <w:noWrap/>
            <w:vAlign w:val="bottom"/>
          </w:tcPr>
          <w:p w14:paraId="0E79C43F" w14:textId="6A623812"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1,196,262.3</w:t>
            </w:r>
          </w:p>
        </w:tc>
        <w:tc>
          <w:tcPr>
            <w:tcW w:w="385" w:type="pct"/>
            <w:tcBorders>
              <w:top w:val="nil"/>
              <w:left w:val="nil"/>
              <w:bottom w:val="nil"/>
              <w:right w:val="nil"/>
            </w:tcBorders>
            <w:shd w:val="clear" w:color="000000" w:fill="FFFFFF"/>
            <w:noWrap/>
            <w:vAlign w:val="bottom"/>
          </w:tcPr>
          <w:p w14:paraId="706A62B3" w14:textId="550DEB0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1,196,262.3</w:t>
            </w:r>
          </w:p>
        </w:tc>
        <w:tc>
          <w:tcPr>
            <w:tcW w:w="385" w:type="pct"/>
            <w:tcBorders>
              <w:top w:val="nil"/>
              <w:left w:val="nil"/>
              <w:bottom w:val="nil"/>
              <w:right w:val="nil"/>
            </w:tcBorders>
            <w:shd w:val="clear" w:color="000000" w:fill="FFFFFF"/>
            <w:noWrap/>
            <w:vAlign w:val="bottom"/>
          </w:tcPr>
          <w:p w14:paraId="3C59679C" w14:textId="11FF0367"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1,196,262.3</w:t>
            </w:r>
          </w:p>
        </w:tc>
        <w:tc>
          <w:tcPr>
            <w:tcW w:w="386" w:type="pct"/>
            <w:tcBorders>
              <w:top w:val="nil"/>
              <w:left w:val="nil"/>
              <w:bottom w:val="nil"/>
              <w:right w:val="nil"/>
            </w:tcBorders>
            <w:shd w:val="clear" w:color="000000" w:fill="FFFFFF"/>
            <w:noWrap/>
            <w:vAlign w:val="bottom"/>
          </w:tcPr>
          <w:p w14:paraId="4CE8ABCE" w14:textId="7F324A4D"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1,196,262.3</w:t>
            </w:r>
          </w:p>
        </w:tc>
      </w:tr>
      <w:tr w:rsidR="004463E3" w:rsidRPr="001B5043" w14:paraId="536CD11D" w14:textId="77777777" w:rsidTr="008A7FD7">
        <w:trPr>
          <w:trHeight w:val="285"/>
        </w:trPr>
        <w:tc>
          <w:tcPr>
            <w:tcW w:w="759" w:type="pct"/>
            <w:tcBorders>
              <w:top w:val="nil"/>
              <w:left w:val="nil"/>
              <w:bottom w:val="nil"/>
              <w:right w:val="nil"/>
            </w:tcBorders>
            <w:shd w:val="clear" w:color="000000" w:fill="FFFFFF"/>
            <w:noWrap/>
            <w:vAlign w:val="bottom"/>
            <w:hideMark/>
          </w:tcPr>
          <w:p w14:paraId="3587F68C"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Year T</w:t>
            </w:r>
          </w:p>
        </w:tc>
        <w:tc>
          <w:tcPr>
            <w:tcW w:w="385" w:type="pct"/>
            <w:tcBorders>
              <w:top w:val="nil"/>
              <w:left w:val="nil"/>
              <w:bottom w:val="nil"/>
              <w:right w:val="nil"/>
            </w:tcBorders>
            <w:shd w:val="clear" w:color="000000" w:fill="FFFFFF"/>
            <w:noWrap/>
            <w:vAlign w:val="bottom"/>
          </w:tcPr>
          <w:p w14:paraId="3C0A2031" w14:textId="47595B8A"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6B81CEA4" w14:textId="4A19A8C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6DE1576C" w14:textId="556DC159"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7" w:type="pct"/>
            <w:tcBorders>
              <w:top w:val="nil"/>
              <w:left w:val="nil"/>
              <w:bottom w:val="nil"/>
              <w:right w:val="nil"/>
            </w:tcBorders>
            <w:shd w:val="clear" w:color="000000" w:fill="FFFFFF"/>
            <w:noWrap/>
            <w:vAlign w:val="bottom"/>
          </w:tcPr>
          <w:p w14:paraId="78E3AF29" w14:textId="6E9F5D5A"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51C3AB82" w14:textId="72CD46B8"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5A977E8E" w14:textId="481EF8F4"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00DEEFBF" w14:textId="67418912"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6" w:type="pct"/>
            <w:tcBorders>
              <w:top w:val="nil"/>
              <w:left w:val="nil"/>
              <w:bottom w:val="nil"/>
              <w:right w:val="nil"/>
            </w:tcBorders>
            <w:shd w:val="clear" w:color="000000" w:fill="FFFFFF"/>
            <w:noWrap/>
            <w:vAlign w:val="bottom"/>
          </w:tcPr>
          <w:p w14:paraId="03A023EB" w14:textId="58346EF9"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318EA452" w14:textId="6E9234D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4842BABC" w14:textId="7A0171D8"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6" w:type="pct"/>
            <w:tcBorders>
              <w:top w:val="nil"/>
              <w:left w:val="nil"/>
              <w:bottom w:val="nil"/>
              <w:right w:val="nil"/>
            </w:tcBorders>
            <w:shd w:val="clear" w:color="000000" w:fill="FFFFFF"/>
            <w:noWrap/>
            <w:vAlign w:val="bottom"/>
          </w:tcPr>
          <w:p w14:paraId="430289CA" w14:textId="24795A97"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r>
      <w:tr w:rsidR="004463E3" w:rsidRPr="001B5043" w14:paraId="52CD9163" w14:textId="77777777" w:rsidTr="008A7FD7">
        <w:trPr>
          <w:trHeight w:val="315"/>
        </w:trPr>
        <w:tc>
          <w:tcPr>
            <w:tcW w:w="759" w:type="pct"/>
            <w:tcBorders>
              <w:top w:val="nil"/>
              <w:left w:val="nil"/>
              <w:bottom w:val="single" w:sz="4" w:space="0" w:color="auto"/>
              <w:right w:val="nil"/>
            </w:tcBorders>
            <w:shd w:val="clear" w:color="000000" w:fill="FFFFFF"/>
            <w:noWrap/>
            <w:vAlign w:val="bottom"/>
            <w:hideMark/>
          </w:tcPr>
          <w:p w14:paraId="109F315C"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deltaC baseline</w:t>
            </w:r>
          </w:p>
        </w:tc>
        <w:tc>
          <w:tcPr>
            <w:tcW w:w="385" w:type="pct"/>
            <w:tcBorders>
              <w:top w:val="nil"/>
              <w:left w:val="nil"/>
              <w:bottom w:val="single" w:sz="4" w:space="0" w:color="auto"/>
              <w:right w:val="nil"/>
            </w:tcBorders>
            <w:shd w:val="clear" w:color="000000" w:fill="FFFFFF"/>
            <w:noWrap/>
            <w:vAlign w:val="bottom"/>
          </w:tcPr>
          <w:p w14:paraId="46355882" w14:textId="5E9514B7"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single" w:sz="4" w:space="0" w:color="auto"/>
              <w:right w:val="nil"/>
            </w:tcBorders>
            <w:shd w:val="clear" w:color="000000" w:fill="FFFFFF"/>
            <w:noWrap/>
            <w:vAlign w:val="bottom"/>
          </w:tcPr>
          <w:p w14:paraId="07915503" w14:textId="1848A3B9"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-183,994.3</w:t>
            </w:r>
          </w:p>
        </w:tc>
        <w:tc>
          <w:tcPr>
            <w:tcW w:w="385" w:type="pct"/>
            <w:tcBorders>
              <w:top w:val="nil"/>
              <w:left w:val="nil"/>
              <w:bottom w:val="single" w:sz="4" w:space="0" w:color="auto"/>
              <w:right w:val="nil"/>
            </w:tcBorders>
            <w:shd w:val="clear" w:color="000000" w:fill="FFFFFF"/>
            <w:noWrap/>
            <w:vAlign w:val="bottom"/>
          </w:tcPr>
          <w:p w14:paraId="6D770923" w14:textId="35BDB19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-73,367.8</w:t>
            </w:r>
          </w:p>
        </w:tc>
        <w:tc>
          <w:tcPr>
            <w:tcW w:w="387" w:type="pct"/>
            <w:tcBorders>
              <w:top w:val="nil"/>
              <w:left w:val="nil"/>
              <w:bottom w:val="single" w:sz="4" w:space="0" w:color="auto"/>
              <w:right w:val="nil"/>
            </w:tcBorders>
            <w:shd w:val="clear" w:color="000000" w:fill="FFFFFF"/>
            <w:noWrap/>
            <w:vAlign w:val="bottom"/>
          </w:tcPr>
          <w:p w14:paraId="0AA674A3" w14:textId="4953EA3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-79,422.4</w:t>
            </w:r>
          </w:p>
        </w:tc>
        <w:tc>
          <w:tcPr>
            <w:tcW w:w="385" w:type="pct"/>
            <w:tcBorders>
              <w:top w:val="nil"/>
              <w:left w:val="nil"/>
              <w:bottom w:val="single" w:sz="4" w:space="0" w:color="auto"/>
              <w:right w:val="nil"/>
            </w:tcBorders>
            <w:shd w:val="clear" w:color="000000" w:fill="FFFFFF"/>
            <w:noWrap/>
            <w:vAlign w:val="bottom"/>
          </w:tcPr>
          <w:p w14:paraId="2ED53A80" w14:textId="334C33F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-83,270.7</w:t>
            </w:r>
          </w:p>
        </w:tc>
        <w:tc>
          <w:tcPr>
            <w:tcW w:w="385" w:type="pct"/>
            <w:tcBorders>
              <w:top w:val="nil"/>
              <w:left w:val="nil"/>
              <w:bottom w:val="single" w:sz="4" w:space="0" w:color="auto"/>
              <w:right w:val="nil"/>
            </w:tcBorders>
            <w:shd w:val="clear" w:color="000000" w:fill="FFFFFF"/>
            <w:noWrap/>
            <w:vAlign w:val="bottom"/>
          </w:tcPr>
          <w:p w14:paraId="45321D90" w14:textId="0D716BB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-86,170.1</w:t>
            </w:r>
          </w:p>
        </w:tc>
        <w:tc>
          <w:tcPr>
            <w:tcW w:w="385" w:type="pct"/>
            <w:tcBorders>
              <w:top w:val="nil"/>
              <w:left w:val="nil"/>
              <w:bottom w:val="single" w:sz="4" w:space="0" w:color="auto"/>
              <w:right w:val="nil"/>
            </w:tcBorders>
            <w:shd w:val="clear" w:color="000000" w:fill="FFFFFF"/>
            <w:noWrap/>
            <w:vAlign w:val="bottom"/>
          </w:tcPr>
          <w:p w14:paraId="2EA4E7B8" w14:textId="533ED434"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-89,832.7</w:t>
            </w:r>
          </w:p>
        </w:tc>
        <w:tc>
          <w:tcPr>
            <w:tcW w:w="386" w:type="pct"/>
            <w:tcBorders>
              <w:top w:val="nil"/>
              <w:left w:val="nil"/>
              <w:bottom w:val="single" w:sz="4" w:space="0" w:color="auto"/>
              <w:right w:val="nil"/>
            </w:tcBorders>
            <w:shd w:val="clear" w:color="000000" w:fill="FFFFFF"/>
            <w:noWrap/>
            <w:vAlign w:val="bottom"/>
          </w:tcPr>
          <w:p w14:paraId="075A3F7C" w14:textId="2C5F9E9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-92,417.3</w:t>
            </w:r>
          </w:p>
        </w:tc>
        <w:tc>
          <w:tcPr>
            <w:tcW w:w="385" w:type="pct"/>
            <w:tcBorders>
              <w:top w:val="nil"/>
              <w:left w:val="nil"/>
              <w:bottom w:val="single" w:sz="4" w:space="0" w:color="auto"/>
              <w:right w:val="nil"/>
            </w:tcBorders>
            <w:shd w:val="clear" w:color="000000" w:fill="FFFFFF"/>
            <w:noWrap/>
            <w:vAlign w:val="bottom"/>
          </w:tcPr>
          <w:p w14:paraId="2C423005" w14:textId="6B54D11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-94,573.6</w:t>
            </w:r>
          </w:p>
        </w:tc>
        <w:tc>
          <w:tcPr>
            <w:tcW w:w="385" w:type="pct"/>
            <w:tcBorders>
              <w:top w:val="nil"/>
              <w:left w:val="nil"/>
              <w:bottom w:val="single" w:sz="4" w:space="0" w:color="auto"/>
              <w:right w:val="nil"/>
            </w:tcBorders>
            <w:shd w:val="clear" w:color="000000" w:fill="FFFFFF"/>
            <w:noWrap/>
            <w:vAlign w:val="bottom"/>
          </w:tcPr>
          <w:p w14:paraId="0238FD99" w14:textId="2FE53F76"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-97,281.8</w:t>
            </w:r>
          </w:p>
        </w:tc>
        <w:tc>
          <w:tcPr>
            <w:tcW w:w="386" w:type="pct"/>
            <w:tcBorders>
              <w:top w:val="nil"/>
              <w:left w:val="nil"/>
              <w:bottom w:val="single" w:sz="4" w:space="0" w:color="auto"/>
              <w:right w:val="nil"/>
            </w:tcBorders>
            <w:shd w:val="clear" w:color="000000" w:fill="FFFFFF"/>
            <w:noWrap/>
            <w:vAlign w:val="bottom"/>
          </w:tcPr>
          <w:p w14:paraId="5F657886" w14:textId="08C05408"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-100,748.8</w:t>
            </w:r>
          </w:p>
        </w:tc>
      </w:tr>
      <w:tr w:rsidR="004463E3" w:rsidRPr="001B5043" w14:paraId="17B53BCD" w14:textId="77777777" w:rsidTr="008A7FD7">
        <w:trPr>
          <w:trHeight w:val="285"/>
        </w:trPr>
        <w:tc>
          <w:tcPr>
            <w:tcW w:w="759" w:type="pct"/>
            <w:tcBorders>
              <w:top w:val="nil"/>
              <w:left w:val="nil"/>
              <w:bottom w:val="nil"/>
              <w:right w:val="nil"/>
            </w:tcBorders>
            <w:shd w:val="clear" w:color="auto" w:fill="auto"/>
            <w:noWrap/>
            <w:vAlign w:val="bottom"/>
            <w:hideMark/>
          </w:tcPr>
          <w:p w14:paraId="334F523D" w14:textId="77777777" w:rsidR="004463E3" w:rsidRPr="001B5043" w:rsidRDefault="004463E3" w:rsidP="004463E3">
            <w:pPr>
              <w:spacing w:after="0" w:line="240" w:lineRule="auto"/>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Project</w:t>
            </w:r>
          </w:p>
        </w:tc>
        <w:tc>
          <w:tcPr>
            <w:tcW w:w="385" w:type="pct"/>
            <w:tcBorders>
              <w:top w:val="nil"/>
              <w:left w:val="nil"/>
              <w:bottom w:val="nil"/>
              <w:right w:val="nil"/>
            </w:tcBorders>
            <w:shd w:val="clear" w:color="auto" w:fill="auto"/>
            <w:noWrap/>
            <w:vAlign w:val="bottom"/>
          </w:tcPr>
          <w:p w14:paraId="0512CEBF" w14:textId="77777777" w:rsidR="004463E3" w:rsidRPr="008A7FD7" w:rsidRDefault="004463E3" w:rsidP="004463E3">
            <w:pPr>
              <w:spacing w:after="0" w:line="240" w:lineRule="auto"/>
              <w:rPr>
                <w:rFonts w:eastAsia="Times New Roman" w:cstheme="minorHAnsi"/>
                <w:b/>
                <w:bCs/>
                <w:color w:val="000000"/>
                <w:sz w:val="16"/>
                <w:szCs w:val="16"/>
              </w:rPr>
            </w:pPr>
          </w:p>
        </w:tc>
        <w:tc>
          <w:tcPr>
            <w:tcW w:w="385" w:type="pct"/>
            <w:tcBorders>
              <w:top w:val="nil"/>
              <w:left w:val="nil"/>
              <w:bottom w:val="nil"/>
              <w:right w:val="nil"/>
            </w:tcBorders>
            <w:shd w:val="clear" w:color="auto" w:fill="auto"/>
            <w:noWrap/>
            <w:vAlign w:val="bottom"/>
          </w:tcPr>
          <w:p w14:paraId="3D922E08" w14:textId="77777777" w:rsidR="004463E3" w:rsidRPr="008A7FD7" w:rsidRDefault="004463E3" w:rsidP="004463E3">
            <w:pPr>
              <w:spacing w:after="0" w:line="240" w:lineRule="auto"/>
              <w:rPr>
                <w:rFonts w:eastAsia="Times New Roman" w:cstheme="minorHAnsi"/>
                <w:sz w:val="16"/>
                <w:szCs w:val="16"/>
              </w:rPr>
            </w:pPr>
          </w:p>
        </w:tc>
        <w:tc>
          <w:tcPr>
            <w:tcW w:w="385" w:type="pct"/>
            <w:tcBorders>
              <w:top w:val="nil"/>
              <w:left w:val="nil"/>
              <w:bottom w:val="nil"/>
              <w:right w:val="nil"/>
            </w:tcBorders>
            <w:shd w:val="clear" w:color="auto" w:fill="auto"/>
            <w:noWrap/>
            <w:vAlign w:val="bottom"/>
          </w:tcPr>
          <w:p w14:paraId="2BFCCF09" w14:textId="77777777" w:rsidR="004463E3" w:rsidRPr="008A7FD7" w:rsidRDefault="004463E3" w:rsidP="004463E3">
            <w:pPr>
              <w:spacing w:after="0" w:line="240" w:lineRule="auto"/>
              <w:rPr>
                <w:rFonts w:eastAsia="Times New Roman" w:cstheme="minorHAnsi"/>
                <w:sz w:val="16"/>
                <w:szCs w:val="16"/>
              </w:rPr>
            </w:pPr>
          </w:p>
        </w:tc>
        <w:tc>
          <w:tcPr>
            <w:tcW w:w="387" w:type="pct"/>
            <w:tcBorders>
              <w:top w:val="nil"/>
              <w:left w:val="nil"/>
              <w:bottom w:val="nil"/>
              <w:right w:val="nil"/>
            </w:tcBorders>
            <w:shd w:val="clear" w:color="auto" w:fill="auto"/>
            <w:noWrap/>
            <w:vAlign w:val="bottom"/>
          </w:tcPr>
          <w:p w14:paraId="1C9F55DA" w14:textId="77777777" w:rsidR="004463E3" w:rsidRPr="008A7FD7" w:rsidRDefault="004463E3" w:rsidP="004463E3">
            <w:pPr>
              <w:spacing w:after="0" w:line="240" w:lineRule="auto"/>
              <w:rPr>
                <w:rFonts w:eastAsia="Times New Roman" w:cstheme="minorHAnsi"/>
                <w:sz w:val="16"/>
                <w:szCs w:val="16"/>
              </w:rPr>
            </w:pPr>
          </w:p>
        </w:tc>
        <w:tc>
          <w:tcPr>
            <w:tcW w:w="385" w:type="pct"/>
            <w:tcBorders>
              <w:top w:val="nil"/>
              <w:left w:val="nil"/>
              <w:bottom w:val="nil"/>
              <w:right w:val="nil"/>
            </w:tcBorders>
            <w:shd w:val="clear" w:color="auto" w:fill="auto"/>
            <w:noWrap/>
            <w:vAlign w:val="bottom"/>
          </w:tcPr>
          <w:p w14:paraId="27AD4DE9" w14:textId="77777777" w:rsidR="004463E3" w:rsidRPr="008A7FD7" w:rsidRDefault="004463E3" w:rsidP="004463E3">
            <w:pPr>
              <w:spacing w:after="0" w:line="240" w:lineRule="auto"/>
              <w:rPr>
                <w:rFonts w:eastAsia="Times New Roman" w:cstheme="minorHAnsi"/>
                <w:sz w:val="16"/>
                <w:szCs w:val="16"/>
              </w:rPr>
            </w:pPr>
          </w:p>
        </w:tc>
        <w:tc>
          <w:tcPr>
            <w:tcW w:w="385" w:type="pct"/>
            <w:tcBorders>
              <w:top w:val="nil"/>
              <w:left w:val="nil"/>
              <w:bottom w:val="nil"/>
              <w:right w:val="nil"/>
            </w:tcBorders>
            <w:shd w:val="clear" w:color="auto" w:fill="auto"/>
            <w:noWrap/>
            <w:vAlign w:val="bottom"/>
          </w:tcPr>
          <w:p w14:paraId="3E92A296" w14:textId="77777777" w:rsidR="004463E3" w:rsidRPr="008A7FD7" w:rsidRDefault="004463E3" w:rsidP="004463E3">
            <w:pPr>
              <w:spacing w:after="0" w:line="240" w:lineRule="auto"/>
              <w:rPr>
                <w:rFonts w:eastAsia="Times New Roman" w:cstheme="minorHAnsi"/>
                <w:sz w:val="16"/>
                <w:szCs w:val="16"/>
              </w:rPr>
            </w:pPr>
          </w:p>
        </w:tc>
        <w:tc>
          <w:tcPr>
            <w:tcW w:w="385" w:type="pct"/>
            <w:tcBorders>
              <w:top w:val="nil"/>
              <w:left w:val="nil"/>
              <w:bottom w:val="nil"/>
              <w:right w:val="nil"/>
            </w:tcBorders>
            <w:shd w:val="clear" w:color="auto" w:fill="auto"/>
            <w:noWrap/>
            <w:vAlign w:val="bottom"/>
          </w:tcPr>
          <w:p w14:paraId="1A741E26" w14:textId="77777777" w:rsidR="004463E3" w:rsidRPr="008A7FD7" w:rsidRDefault="004463E3" w:rsidP="004463E3">
            <w:pPr>
              <w:spacing w:after="0" w:line="240" w:lineRule="auto"/>
              <w:rPr>
                <w:rFonts w:eastAsia="Times New Roman" w:cstheme="minorHAnsi"/>
                <w:sz w:val="16"/>
                <w:szCs w:val="16"/>
              </w:rPr>
            </w:pPr>
          </w:p>
        </w:tc>
        <w:tc>
          <w:tcPr>
            <w:tcW w:w="386" w:type="pct"/>
            <w:tcBorders>
              <w:top w:val="nil"/>
              <w:left w:val="nil"/>
              <w:bottom w:val="nil"/>
              <w:right w:val="nil"/>
            </w:tcBorders>
            <w:shd w:val="clear" w:color="auto" w:fill="auto"/>
            <w:noWrap/>
            <w:vAlign w:val="bottom"/>
          </w:tcPr>
          <w:p w14:paraId="73B5607B" w14:textId="77777777" w:rsidR="004463E3" w:rsidRPr="008A7FD7" w:rsidRDefault="004463E3" w:rsidP="004463E3">
            <w:pPr>
              <w:spacing w:after="0" w:line="240" w:lineRule="auto"/>
              <w:rPr>
                <w:rFonts w:eastAsia="Times New Roman" w:cstheme="minorHAnsi"/>
                <w:sz w:val="16"/>
                <w:szCs w:val="16"/>
              </w:rPr>
            </w:pPr>
          </w:p>
        </w:tc>
        <w:tc>
          <w:tcPr>
            <w:tcW w:w="385" w:type="pct"/>
            <w:tcBorders>
              <w:top w:val="nil"/>
              <w:left w:val="nil"/>
              <w:bottom w:val="nil"/>
              <w:right w:val="nil"/>
            </w:tcBorders>
            <w:shd w:val="clear" w:color="auto" w:fill="auto"/>
            <w:noWrap/>
            <w:vAlign w:val="bottom"/>
          </w:tcPr>
          <w:p w14:paraId="1043563B" w14:textId="77777777" w:rsidR="004463E3" w:rsidRPr="008A7FD7" w:rsidRDefault="004463E3" w:rsidP="004463E3">
            <w:pPr>
              <w:spacing w:after="0" w:line="240" w:lineRule="auto"/>
              <w:rPr>
                <w:rFonts w:eastAsia="Times New Roman" w:cstheme="minorHAnsi"/>
                <w:sz w:val="16"/>
                <w:szCs w:val="16"/>
              </w:rPr>
            </w:pPr>
          </w:p>
        </w:tc>
        <w:tc>
          <w:tcPr>
            <w:tcW w:w="385" w:type="pct"/>
            <w:tcBorders>
              <w:top w:val="nil"/>
              <w:left w:val="nil"/>
              <w:bottom w:val="nil"/>
              <w:right w:val="nil"/>
            </w:tcBorders>
            <w:shd w:val="clear" w:color="auto" w:fill="auto"/>
            <w:noWrap/>
            <w:vAlign w:val="bottom"/>
          </w:tcPr>
          <w:p w14:paraId="024FDF8B" w14:textId="77777777" w:rsidR="004463E3" w:rsidRPr="008A7FD7" w:rsidRDefault="004463E3" w:rsidP="004463E3">
            <w:pPr>
              <w:spacing w:after="0" w:line="240" w:lineRule="auto"/>
              <w:rPr>
                <w:rFonts w:eastAsia="Times New Roman" w:cstheme="minorHAnsi"/>
                <w:sz w:val="16"/>
                <w:szCs w:val="16"/>
              </w:rPr>
            </w:pPr>
          </w:p>
        </w:tc>
        <w:tc>
          <w:tcPr>
            <w:tcW w:w="386" w:type="pct"/>
            <w:tcBorders>
              <w:top w:val="nil"/>
              <w:left w:val="nil"/>
              <w:bottom w:val="nil"/>
              <w:right w:val="nil"/>
            </w:tcBorders>
            <w:shd w:val="clear" w:color="auto" w:fill="auto"/>
            <w:noWrap/>
            <w:vAlign w:val="bottom"/>
          </w:tcPr>
          <w:p w14:paraId="4D3F7D42" w14:textId="77777777" w:rsidR="004463E3" w:rsidRPr="008A7FD7" w:rsidRDefault="004463E3" w:rsidP="004463E3">
            <w:pPr>
              <w:spacing w:after="0" w:line="240" w:lineRule="auto"/>
              <w:rPr>
                <w:rFonts w:eastAsia="Times New Roman" w:cstheme="minorHAnsi"/>
                <w:sz w:val="16"/>
                <w:szCs w:val="16"/>
              </w:rPr>
            </w:pPr>
          </w:p>
        </w:tc>
      </w:tr>
      <w:tr w:rsidR="004463E3" w:rsidRPr="001B5043" w14:paraId="7F00391F" w14:textId="77777777" w:rsidTr="008A7FD7">
        <w:trPr>
          <w:trHeight w:val="315"/>
        </w:trPr>
        <w:tc>
          <w:tcPr>
            <w:tcW w:w="759" w:type="pct"/>
            <w:tcBorders>
              <w:top w:val="nil"/>
              <w:left w:val="nil"/>
              <w:bottom w:val="nil"/>
              <w:right w:val="nil"/>
            </w:tcBorders>
            <w:shd w:val="clear" w:color="000000" w:fill="FDE9D9"/>
            <w:noWrap/>
            <w:vAlign w:val="bottom"/>
            <w:hideMark/>
          </w:tcPr>
          <w:p w14:paraId="1EC3E464"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Live Tree CO2 Project</w:t>
            </w:r>
          </w:p>
        </w:tc>
        <w:tc>
          <w:tcPr>
            <w:tcW w:w="385" w:type="pct"/>
            <w:tcBorders>
              <w:top w:val="nil"/>
              <w:left w:val="nil"/>
              <w:bottom w:val="nil"/>
              <w:right w:val="nil"/>
            </w:tcBorders>
            <w:shd w:val="clear" w:color="000000" w:fill="FDE9D9"/>
            <w:noWrap/>
            <w:vAlign w:val="bottom"/>
          </w:tcPr>
          <w:p w14:paraId="5C1D9DA7" w14:textId="5564794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2,211,273.5</w:t>
            </w:r>
          </w:p>
        </w:tc>
        <w:tc>
          <w:tcPr>
            <w:tcW w:w="385" w:type="pct"/>
            <w:tcBorders>
              <w:top w:val="nil"/>
              <w:left w:val="nil"/>
              <w:bottom w:val="nil"/>
              <w:right w:val="nil"/>
            </w:tcBorders>
            <w:shd w:val="clear" w:color="000000" w:fill="FDE9D9"/>
            <w:noWrap/>
            <w:vAlign w:val="bottom"/>
          </w:tcPr>
          <w:p w14:paraId="7735FAE3" w14:textId="0A8E098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2,175,932.6</w:t>
            </w:r>
          </w:p>
        </w:tc>
        <w:tc>
          <w:tcPr>
            <w:tcW w:w="385" w:type="pct"/>
            <w:tcBorders>
              <w:top w:val="nil"/>
              <w:left w:val="nil"/>
              <w:bottom w:val="nil"/>
              <w:right w:val="nil"/>
            </w:tcBorders>
            <w:shd w:val="clear" w:color="000000" w:fill="FDE9D9"/>
            <w:noWrap/>
            <w:vAlign w:val="bottom"/>
          </w:tcPr>
          <w:p w14:paraId="6CE6D3E4" w14:textId="0610BE1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2,219,157.8</w:t>
            </w:r>
          </w:p>
        </w:tc>
        <w:tc>
          <w:tcPr>
            <w:tcW w:w="387" w:type="pct"/>
            <w:tcBorders>
              <w:top w:val="nil"/>
              <w:left w:val="nil"/>
              <w:bottom w:val="nil"/>
              <w:right w:val="nil"/>
            </w:tcBorders>
            <w:shd w:val="clear" w:color="000000" w:fill="FDE9D9"/>
            <w:noWrap/>
            <w:vAlign w:val="bottom"/>
          </w:tcPr>
          <w:p w14:paraId="6E5BD4BA" w14:textId="4B5837DD"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2,262,383.1</w:t>
            </w:r>
          </w:p>
        </w:tc>
        <w:tc>
          <w:tcPr>
            <w:tcW w:w="385" w:type="pct"/>
            <w:tcBorders>
              <w:top w:val="nil"/>
              <w:left w:val="nil"/>
              <w:bottom w:val="nil"/>
              <w:right w:val="nil"/>
            </w:tcBorders>
            <w:shd w:val="clear" w:color="000000" w:fill="FDE9D9"/>
            <w:noWrap/>
            <w:vAlign w:val="bottom"/>
          </w:tcPr>
          <w:p w14:paraId="53FCC9FF" w14:textId="12640124"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2,305,608.4</w:t>
            </w:r>
          </w:p>
        </w:tc>
        <w:tc>
          <w:tcPr>
            <w:tcW w:w="385" w:type="pct"/>
            <w:tcBorders>
              <w:top w:val="nil"/>
              <w:left w:val="nil"/>
              <w:bottom w:val="nil"/>
              <w:right w:val="nil"/>
            </w:tcBorders>
            <w:shd w:val="clear" w:color="000000" w:fill="FDE9D9"/>
            <w:noWrap/>
            <w:vAlign w:val="bottom"/>
          </w:tcPr>
          <w:p w14:paraId="23DE212B" w14:textId="218C6C1D"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2,348,833.6</w:t>
            </w:r>
          </w:p>
        </w:tc>
        <w:tc>
          <w:tcPr>
            <w:tcW w:w="385" w:type="pct"/>
            <w:tcBorders>
              <w:top w:val="nil"/>
              <w:left w:val="nil"/>
              <w:bottom w:val="nil"/>
              <w:right w:val="nil"/>
            </w:tcBorders>
            <w:shd w:val="clear" w:color="000000" w:fill="FDE9D9"/>
            <w:noWrap/>
            <w:vAlign w:val="bottom"/>
          </w:tcPr>
          <w:p w14:paraId="1BAB26D2" w14:textId="231C6A8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2,301,781.9</w:t>
            </w:r>
          </w:p>
        </w:tc>
        <w:tc>
          <w:tcPr>
            <w:tcW w:w="386" w:type="pct"/>
            <w:tcBorders>
              <w:top w:val="nil"/>
              <w:left w:val="nil"/>
              <w:bottom w:val="nil"/>
              <w:right w:val="nil"/>
            </w:tcBorders>
            <w:shd w:val="clear" w:color="000000" w:fill="FDE9D9"/>
            <w:noWrap/>
            <w:vAlign w:val="bottom"/>
          </w:tcPr>
          <w:p w14:paraId="0FFD029C" w14:textId="14309125"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2,341,244.6</w:t>
            </w:r>
          </w:p>
        </w:tc>
        <w:tc>
          <w:tcPr>
            <w:tcW w:w="385" w:type="pct"/>
            <w:tcBorders>
              <w:top w:val="nil"/>
              <w:left w:val="nil"/>
              <w:bottom w:val="nil"/>
              <w:right w:val="nil"/>
            </w:tcBorders>
            <w:shd w:val="clear" w:color="000000" w:fill="FDE9D9"/>
            <w:noWrap/>
            <w:vAlign w:val="bottom"/>
          </w:tcPr>
          <w:p w14:paraId="7859D69D" w14:textId="0CE2692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2,380,707.3</w:t>
            </w:r>
          </w:p>
        </w:tc>
        <w:tc>
          <w:tcPr>
            <w:tcW w:w="385" w:type="pct"/>
            <w:tcBorders>
              <w:top w:val="nil"/>
              <w:left w:val="nil"/>
              <w:bottom w:val="nil"/>
              <w:right w:val="nil"/>
            </w:tcBorders>
            <w:shd w:val="clear" w:color="000000" w:fill="FDE9D9"/>
            <w:noWrap/>
            <w:vAlign w:val="bottom"/>
          </w:tcPr>
          <w:p w14:paraId="298B2ADD" w14:textId="64E8234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2,420,170.0</w:t>
            </w:r>
          </w:p>
        </w:tc>
        <w:tc>
          <w:tcPr>
            <w:tcW w:w="386" w:type="pct"/>
            <w:tcBorders>
              <w:top w:val="nil"/>
              <w:left w:val="nil"/>
              <w:bottom w:val="nil"/>
              <w:right w:val="nil"/>
            </w:tcBorders>
            <w:shd w:val="clear" w:color="000000" w:fill="FDE9D9"/>
            <w:noWrap/>
            <w:vAlign w:val="bottom"/>
          </w:tcPr>
          <w:p w14:paraId="5AF8346E" w14:textId="389D4FA7"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2,459,632.7</w:t>
            </w:r>
          </w:p>
        </w:tc>
      </w:tr>
      <w:tr w:rsidR="004463E3" w:rsidRPr="001B5043" w14:paraId="6AED3229" w14:textId="77777777" w:rsidTr="008A7FD7">
        <w:trPr>
          <w:trHeight w:val="315"/>
        </w:trPr>
        <w:tc>
          <w:tcPr>
            <w:tcW w:w="759" w:type="pct"/>
            <w:tcBorders>
              <w:top w:val="nil"/>
              <w:left w:val="nil"/>
              <w:bottom w:val="nil"/>
              <w:right w:val="nil"/>
            </w:tcBorders>
            <w:shd w:val="clear" w:color="000000" w:fill="FDE9D9"/>
            <w:noWrap/>
            <w:vAlign w:val="bottom"/>
            <w:hideMark/>
          </w:tcPr>
          <w:p w14:paraId="469C604F"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Standing dead CO2 Project</w:t>
            </w:r>
          </w:p>
        </w:tc>
        <w:tc>
          <w:tcPr>
            <w:tcW w:w="385" w:type="pct"/>
            <w:tcBorders>
              <w:top w:val="nil"/>
              <w:left w:val="nil"/>
              <w:bottom w:val="nil"/>
              <w:right w:val="nil"/>
            </w:tcBorders>
            <w:shd w:val="clear" w:color="000000" w:fill="FDE9D9"/>
            <w:noWrap/>
            <w:vAlign w:val="bottom"/>
          </w:tcPr>
          <w:p w14:paraId="78278EE3" w14:textId="060587B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44,093.9</w:t>
            </w:r>
          </w:p>
        </w:tc>
        <w:tc>
          <w:tcPr>
            <w:tcW w:w="385" w:type="pct"/>
            <w:tcBorders>
              <w:top w:val="nil"/>
              <w:left w:val="nil"/>
              <w:bottom w:val="nil"/>
              <w:right w:val="nil"/>
            </w:tcBorders>
            <w:shd w:val="clear" w:color="000000" w:fill="FDE9D9"/>
            <w:noWrap/>
            <w:vAlign w:val="bottom"/>
          </w:tcPr>
          <w:p w14:paraId="20A192A7" w14:textId="1D356834"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44,093.9</w:t>
            </w:r>
          </w:p>
        </w:tc>
        <w:tc>
          <w:tcPr>
            <w:tcW w:w="385" w:type="pct"/>
            <w:tcBorders>
              <w:top w:val="nil"/>
              <w:left w:val="nil"/>
              <w:bottom w:val="nil"/>
              <w:right w:val="nil"/>
            </w:tcBorders>
            <w:shd w:val="clear" w:color="000000" w:fill="FDE9D9"/>
            <w:noWrap/>
            <w:vAlign w:val="bottom"/>
          </w:tcPr>
          <w:p w14:paraId="7183D1A1" w14:textId="24EB671D"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44,093.9</w:t>
            </w:r>
          </w:p>
        </w:tc>
        <w:tc>
          <w:tcPr>
            <w:tcW w:w="387" w:type="pct"/>
            <w:tcBorders>
              <w:top w:val="nil"/>
              <w:left w:val="nil"/>
              <w:bottom w:val="nil"/>
              <w:right w:val="nil"/>
            </w:tcBorders>
            <w:shd w:val="clear" w:color="000000" w:fill="FDE9D9"/>
            <w:noWrap/>
            <w:vAlign w:val="bottom"/>
          </w:tcPr>
          <w:p w14:paraId="690DF9D5" w14:textId="75DF7D4D"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44,093.9</w:t>
            </w:r>
          </w:p>
        </w:tc>
        <w:tc>
          <w:tcPr>
            <w:tcW w:w="385" w:type="pct"/>
            <w:tcBorders>
              <w:top w:val="nil"/>
              <w:left w:val="nil"/>
              <w:bottom w:val="nil"/>
              <w:right w:val="nil"/>
            </w:tcBorders>
            <w:shd w:val="clear" w:color="000000" w:fill="FDE9D9"/>
            <w:noWrap/>
            <w:vAlign w:val="bottom"/>
          </w:tcPr>
          <w:p w14:paraId="58365365" w14:textId="19D6F4E7"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44,093.9</w:t>
            </w:r>
          </w:p>
        </w:tc>
        <w:tc>
          <w:tcPr>
            <w:tcW w:w="385" w:type="pct"/>
            <w:tcBorders>
              <w:top w:val="nil"/>
              <w:left w:val="nil"/>
              <w:bottom w:val="nil"/>
              <w:right w:val="nil"/>
            </w:tcBorders>
            <w:shd w:val="clear" w:color="000000" w:fill="FDE9D9"/>
            <w:noWrap/>
            <w:vAlign w:val="bottom"/>
          </w:tcPr>
          <w:p w14:paraId="372A1C90" w14:textId="667DF43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44,093.9</w:t>
            </w:r>
          </w:p>
        </w:tc>
        <w:tc>
          <w:tcPr>
            <w:tcW w:w="385" w:type="pct"/>
            <w:tcBorders>
              <w:top w:val="nil"/>
              <w:left w:val="nil"/>
              <w:bottom w:val="nil"/>
              <w:right w:val="nil"/>
            </w:tcBorders>
            <w:shd w:val="clear" w:color="000000" w:fill="FDE9D9"/>
            <w:noWrap/>
            <w:vAlign w:val="bottom"/>
          </w:tcPr>
          <w:p w14:paraId="6596961A" w14:textId="090DF77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44,093.9</w:t>
            </w:r>
          </w:p>
        </w:tc>
        <w:tc>
          <w:tcPr>
            <w:tcW w:w="386" w:type="pct"/>
            <w:tcBorders>
              <w:top w:val="nil"/>
              <w:left w:val="nil"/>
              <w:bottom w:val="nil"/>
              <w:right w:val="nil"/>
            </w:tcBorders>
            <w:shd w:val="clear" w:color="000000" w:fill="FDE9D9"/>
            <w:noWrap/>
            <w:vAlign w:val="bottom"/>
          </w:tcPr>
          <w:p w14:paraId="5D0962D2" w14:textId="77DA2BE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44,093.9</w:t>
            </w:r>
          </w:p>
        </w:tc>
        <w:tc>
          <w:tcPr>
            <w:tcW w:w="385" w:type="pct"/>
            <w:tcBorders>
              <w:top w:val="nil"/>
              <w:left w:val="nil"/>
              <w:bottom w:val="nil"/>
              <w:right w:val="nil"/>
            </w:tcBorders>
            <w:shd w:val="clear" w:color="000000" w:fill="FDE9D9"/>
            <w:noWrap/>
            <w:vAlign w:val="bottom"/>
          </w:tcPr>
          <w:p w14:paraId="4C210A66" w14:textId="07D3EB55"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44,093.9</w:t>
            </w:r>
          </w:p>
        </w:tc>
        <w:tc>
          <w:tcPr>
            <w:tcW w:w="385" w:type="pct"/>
            <w:tcBorders>
              <w:top w:val="nil"/>
              <w:left w:val="nil"/>
              <w:bottom w:val="nil"/>
              <w:right w:val="nil"/>
            </w:tcBorders>
            <w:shd w:val="clear" w:color="000000" w:fill="FDE9D9"/>
            <w:noWrap/>
            <w:vAlign w:val="bottom"/>
          </w:tcPr>
          <w:p w14:paraId="2A98CB6A" w14:textId="67F7D34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44,093.9</w:t>
            </w:r>
          </w:p>
        </w:tc>
        <w:tc>
          <w:tcPr>
            <w:tcW w:w="386" w:type="pct"/>
            <w:tcBorders>
              <w:top w:val="nil"/>
              <w:left w:val="nil"/>
              <w:bottom w:val="nil"/>
              <w:right w:val="nil"/>
            </w:tcBorders>
            <w:shd w:val="clear" w:color="000000" w:fill="FDE9D9"/>
            <w:noWrap/>
            <w:vAlign w:val="bottom"/>
          </w:tcPr>
          <w:p w14:paraId="42C06B9D" w14:textId="4DAF0CA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44,093.9</w:t>
            </w:r>
          </w:p>
        </w:tc>
      </w:tr>
      <w:tr w:rsidR="004463E3" w:rsidRPr="001B5043" w14:paraId="605F1CFC" w14:textId="77777777" w:rsidTr="008A7FD7">
        <w:trPr>
          <w:trHeight w:val="285"/>
        </w:trPr>
        <w:tc>
          <w:tcPr>
            <w:tcW w:w="759" w:type="pct"/>
            <w:tcBorders>
              <w:top w:val="nil"/>
              <w:left w:val="nil"/>
              <w:bottom w:val="nil"/>
              <w:right w:val="nil"/>
            </w:tcBorders>
            <w:shd w:val="clear" w:color="000000" w:fill="FDE9D9"/>
            <w:noWrap/>
            <w:vAlign w:val="bottom"/>
            <w:hideMark/>
          </w:tcPr>
          <w:p w14:paraId="28AA3DB7"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Greenhouse gas emission from logging slash burning</w:t>
            </w:r>
          </w:p>
        </w:tc>
        <w:tc>
          <w:tcPr>
            <w:tcW w:w="385" w:type="pct"/>
            <w:tcBorders>
              <w:top w:val="nil"/>
              <w:left w:val="nil"/>
              <w:bottom w:val="nil"/>
              <w:right w:val="nil"/>
            </w:tcBorders>
            <w:shd w:val="clear" w:color="000000" w:fill="FDE9D9"/>
            <w:noWrap/>
            <w:vAlign w:val="bottom"/>
          </w:tcPr>
          <w:p w14:paraId="260E61D6" w14:textId="4F84AAE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DE9D9"/>
            <w:noWrap/>
            <w:vAlign w:val="bottom"/>
          </w:tcPr>
          <w:p w14:paraId="10CC05BE" w14:textId="2F9DF42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DE9D9"/>
            <w:noWrap/>
            <w:vAlign w:val="bottom"/>
          </w:tcPr>
          <w:p w14:paraId="7E0509EF" w14:textId="59AD5762"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7" w:type="pct"/>
            <w:tcBorders>
              <w:top w:val="nil"/>
              <w:left w:val="nil"/>
              <w:bottom w:val="nil"/>
              <w:right w:val="nil"/>
            </w:tcBorders>
            <w:shd w:val="clear" w:color="000000" w:fill="FDE9D9"/>
            <w:noWrap/>
            <w:vAlign w:val="bottom"/>
          </w:tcPr>
          <w:p w14:paraId="225B13B5" w14:textId="69FE4029"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DE9D9"/>
            <w:noWrap/>
            <w:vAlign w:val="bottom"/>
          </w:tcPr>
          <w:p w14:paraId="1B0FC03A" w14:textId="59F064D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DE9D9"/>
            <w:noWrap/>
            <w:vAlign w:val="bottom"/>
          </w:tcPr>
          <w:p w14:paraId="464E30C2" w14:textId="765AA224"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DE9D9"/>
            <w:noWrap/>
            <w:vAlign w:val="bottom"/>
          </w:tcPr>
          <w:p w14:paraId="40B16B74" w14:textId="0E0B24D6"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6" w:type="pct"/>
            <w:tcBorders>
              <w:top w:val="nil"/>
              <w:left w:val="nil"/>
              <w:bottom w:val="nil"/>
              <w:right w:val="nil"/>
            </w:tcBorders>
            <w:shd w:val="clear" w:color="000000" w:fill="FDE9D9"/>
            <w:noWrap/>
            <w:vAlign w:val="bottom"/>
          </w:tcPr>
          <w:p w14:paraId="717406F9" w14:textId="5C90CCA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DE9D9"/>
            <w:noWrap/>
            <w:vAlign w:val="bottom"/>
          </w:tcPr>
          <w:p w14:paraId="0B3C6364" w14:textId="3A0720B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DE9D9"/>
            <w:noWrap/>
            <w:vAlign w:val="bottom"/>
          </w:tcPr>
          <w:p w14:paraId="26BD9A38" w14:textId="3E7FF436"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6" w:type="pct"/>
            <w:tcBorders>
              <w:top w:val="nil"/>
              <w:left w:val="nil"/>
              <w:bottom w:val="nil"/>
              <w:right w:val="nil"/>
            </w:tcBorders>
            <w:shd w:val="clear" w:color="000000" w:fill="FDE9D9"/>
            <w:noWrap/>
            <w:vAlign w:val="bottom"/>
          </w:tcPr>
          <w:p w14:paraId="52D2143C" w14:textId="4DC897A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r>
      <w:tr w:rsidR="004463E3" w:rsidRPr="001B5043" w14:paraId="65037B51" w14:textId="77777777" w:rsidTr="008A7FD7">
        <w:trPr>
          <w:trHeight w:val="315"/>
        </w:trPr>
        <w:tc>
          <w:tcPr>
            <w:tcW w:w="759" w:type="pct"/>
            <w:tcBorders>
              <w:top w:val="nil"/>
              <w:left w:val="nil"/>
              <w:bottom w:val="nil"/>
              <w:right w:val="nil"/>
            </w:tcBorders>
            <w:shd w:val="clear" w:color="000000" w:fill="FDE9D9"/>
            <w:noWrap/>
            <w:vAlign w:val="bottom"/>
            <w:hideMark/>
          </w:tcPr>
          <w:p w14:paraId="3BE7CB8F"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HWP Project</w:t>
            </w:r>
          </w:p>
        </w:tc>
        <w:tc>
          <w:tcPr>
            <w:tcW w:w="385" w:type="pct"/>
            <w:tcBorders>
              <w:top w:val="nil"/>
              <w:left w:val="nil"/>
              <w:bottom w:val="nil"/>
              <w:right w:val="nil"/>
            </w:tcBorders>
            <w:shd w:val="clear" w:color="000000" w:fill="FDE9D9"/>
            <w:noWrap/>
            <w:vAlign w:val="bottom"/>
          </w:tcPr>
          <w:p w14:paraId="467908E3" w14:textId="236DD76D"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10,852.6</w:t>
            </w:r>
          </w:p>
        </w:tc>
        <w:tc>
          <w:tcPr>
            <w:tcW w:w="385" w:type="pct"/>
            <w:tcBorders>
              <w:top w:val="nil"/>
              <w:left w:val="nil"/>
              <w:bottom w:val="nil"/>
              <w:right w:val="nil"/>
            </w:tcBorders>
            <w:shd w:val="clear" w:color="000000" w:fill="FDE9D9"/>
            <w:noWrap/>
            <w:vAlign w:val="bottom"/>
          </w:tcPr>
          <w:p w14:paraId="2C56C16F" w14:textId="47EE459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DE9D9"/>
            <w:noWrap/>
            <w:vAlign w:val="bottom"/>
          </w:tcPr>
          <w:p w14:paraId="1747986B" w14:textId="1AEFA4C5"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7" w:type="pct"/>
            <w:tcBorders>
              <w:top w:val="nil"/>
              <w:left w:val="nil"/>
              <w:bottom w:val="nil"/>
              <w:right w:val="nil"/>
            </w:tcBorders>
            <w:shd w:val="clear" w:color="000000" w:fill="FDE9D9"/>
            <w:noWrap/>
            <w:vAlign w:val="bottom"/>
          </w:tcPr>
          <w:p w14:paraId="30AEF339" w14:textId="7690CBEA"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DE9D9"/>
            <w:noWrap/>
            <w:vAlign w:val="bottom"/>
          </w:tcPr>
          <w:p w14:paraId="42B5ADF2" w14:textId="2BEBD29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DE9D9"/>
            <w:noWrap/>
            <w:vAlign w:val="bottom"/>
          </w:tcPr>
          <w:p w14:paraId="4EDEE764" w14:textId="10FB753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12,076.3</w:t>
            </w:r>
          </w:p>
        </w:tc>
        <w:tc>
          <w:tcPr>
            <w:tcW w:w="385" w:type="pct"/>
            <w:tcBorders>
              <w:top w:val="nil"/>
              <w:left w:val="nil"/>
              <w:bottom w:val="nil"/>
              <w:right w:val="nil"/>
            </w:tcBorders>
            <w:shd w:val="clear" w:color="000000" w:fill="FDE9D9"/>
            <w:noWrap/>
            <w:vAlign w:val="bottom"/>
          </w:tcPr>
          <w:p w14:paraId="585FD64C" w14:textId="19CD01A6"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6" w:type="pct"/>
            <w:tcBorders>
              <w:top w:val="nil"/>
              <w:left w:val="nil"/>
              <w:bottom w:val="nil"/>
              <w:right w:val="nil"/>
            </w:tcBorders>
            <w:shd w:val="clear" w:color="000000" w:fill="FDE9D9"/>
            <w:noWrap/>
            <w:vAlign w:val="bottom"/>
          </w:tcPr>
          <w:p w14:paraId="6FACFBD2" w14:textId="68C4ED08"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DE9D9"/>
            <w:noWrap/>
            <w:vAlign w:val="bottom"/>
          </w:tcPr>
          <w:p w14:paraId="5A459BCD" w14:textId="65C640C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DE9D9"/>
            <w:noWrap/>
            <w:vAlign w:val="bottom"/>
          </w:tcPr>
          <w:p w14:paraId="3B76F2B2" w14:textId="01B0936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6" w:type="pct"/>
            <w:tcBorders>
              <w:top w:val="nil"/>
              <w:left w:val="nil"/>
              <w:bottom w:val="nil"/>
              <w:right w:val="nil"/>
            </w:tcBorders>
            <w:shd w:val="clear" w:color="000000" w:fill="FDE9D9"/>
            <w:noWrap/>
            <w:vAlign w:val="bottom"/>
          </w:tcPr>
          <w:p w14:paraId="5D496DBB" w14:textId="6E12855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13,279.4</w:t>
            </w:r>
          </w:p>
        </w:tc>
      </w:tr>
      <w:tr w:rsidR="004463E3" w:rsidRPr="001B5043" w14:paraId="61A4B6F2" w14:textId="77777777" w:rsidTr="008A7FD7">
        <w:trPr>
          <w:trHeight w:val="285"/>
        </w:trPr>
        <w:tc>
          <w:tcPr>
            <w:tcW w:w="759" w:type="pct"/>
            <w:tcBorders>
              <w:top w:val="nil"/>
              <w:left w:val="nil"/>
              <w:bottom w:val="nil"/>
              <w:right w:val="nil"/>
            </w:tcBorders>
            <w:shd w:val="clear" w:color="auto" w:fill="auto"/>
            <w:noWrap/>
            <w:vAlign w:val="bottom"/>
            <w:hideMark/>
          </w:tcPr>
          <w:p w14:paraId="519ED134"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sum stocks</w:t>
            </w:r>
          </w:p>
        </w:tc>
        <w:tc>
          <w:tcPr>
            <w:tcW w:w="385" w:type="pct"/>
            <w:tcBorders>
              <w:top w:val="nil"/>
              <w:left w:val="nil"/>
              <w:bottom w:val="nil"/>
              <w:right w:val="nil"/>
            </w:tcBorders>
            <w:shd w:val="clear" w:color="auto" w:fill="auto"/>
            <w:noWrap/>
            <w:vAlign w:val="bottom"/>
          </w:tcPr>
          <w:p w14:paraId="54CC9E9E" w14:textId="57934988"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2,266,220.0</w:t>
            </w:r>
          </w:p>
        </w:tc>
        <w:tc>
          <w:tcPr>
            <w:tcW w:w="385" w:type="pct"/>
            <w:tcBorders>
              <w:top w:val="nil"/>
              <w:left w:val="nil"/>
              <w:bottom w:val="nil"/>
              <w:right w:val="nil"/>
            </w:tcBorders>
            <w:shd w:val="clear" w:color="auto" w:fill="auto"/>
            <w:noWrap/>
            <w:vAlign w:val="bottom"/>
          </w:tcPr>
          <w:p w14:paraId="48EDEE5C" w14:textId="4878C3D7"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2,230,879.1</w:t>
            </w:r>
          </w:p>
        </w:tc>
        <w:tc>
          <w:tcPr>
            <w:tcW w:w="385" w:type="pct"/>
            <w:tcBorders>
              <w:top w:val="nil"/>
              <w:left w:val="nil"/>
              <w:bottom w:val="nil"/>
              <w:right w:val="nil"/>
            </w:tcBorders>
            <w:shd w:val="clear" w:color="auto" w:fill="auto"/>
            <w:noWrap/>
            <w:vAlign w:val="bottom"/>
          </w:tcPr>
          <w:p w14:paraId="6ADE2CE4" w14:textId="5BFDFC59"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2,274,104.4</w:t>
            </w:r>
          </w:p>
        </w:tc>
        <w:tc>
          <w:tcPr>
            <w:tcW w:w="387" w:type="pct"/>
            <w:tcBorders>
              <w:top w:val="nil"/>
              <w:left w:val="nil"/>
              <w:bottom w:val="nil"/>
              <w:right w:val="nil"/>
            </w:tcBorders>
            <w:shd w:val="clear" w:color="auto" w:fill="auto"/>
            <w:noWrap/>
            <w:vAlign w:val="bottom"/>
          </w:tcPr>
          <w:p w14:paraId="686D0F20" w14:textId="39C6DC17"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2,317,329.7</w:t>
            </w:r>
          </w:p>
        </w:tc>
        <w:tc>
          <w:tcPr>
            <w:tcW w:w="385" w:type="pct"/>
            <w:tcBorders>
              <w:top w:val="nil"/>
              <w:left w:val="nil"/>
              <w:bottom w:val="nil"/>
              <w:right w:val="nil"/>
            </w:tcBorders>
            <w:shd w:val="clear" w:color="auto" w:fill="auto"/>
            <w:noWrap/>
            <w:vAlign w:val="bottom"/>
          </w:tcPr>
          <w:p w14:paraId="3AEA38D5" w14:textId="1CF63E9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2,360,554.9</w:t>
            </w:r>
          </w:p>
        </w:tc>
        <w:tc>
          <w:tcPr>
            <w:tcW w:w="385" w:type="pct"/>
            <w:tcBorders>
              <w:top w:val="nil"/>
              <w:left w:val="nil"/>
              <w:bottom w:val="nil"/>
              <w:right w:val="nil"/>
            </w:tcBorders>
            <w:shd w:val="clear" w:color="auto" w:fill="auto"/>
            <w:noWrap/>
            <w:vAlign w:val="bottom"/>
          </w:tcPr>
          <w:p w14:paraId="46932709" w14:textId="2DCAFCD8"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2,415,856.5</w:t>
            </w:r>
          </w:p>
        </w:tc>
        <w:tc>
          <w:tcPr>
            <w:tcW w:w="385" w:type="pct"/>
            <w:tcBorders>
              <w:top w:val="nil"/>
              <w:left w:val="nil"/>
              <w:bottom w:val="nil"/>
              <w:right w:val="nil"/>
            </w:tcBorders>
            <w:shd w:val="clear" w:color="auto" w:fill="auto"/>
            <w:noWrap/>
            <w:vAlign w:val="bottom"/>
          </w:tcPr>
          <w:p w14:paraId="164D4E14" w14:textId="5F52BED6"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2,368,804.8</w:t>
            </w:r>
          </w:p>
        </w:tc>
        <w:tc>
          <w:tcPr>
            <w:tcW w:w="386" w:type="pct"/>
            <w:tcBorders>
              <w:top w:val="nil"/>
              <w:left w:val="nil"/>
              <w:bottom w:val="nil"/>
              <w:right w:val="nil"/>
            </w:tcBorders>
            <w:shd w:val="clear" w:color="auto" w:fill="auto"/>
            <w:noWrap/>
            <w:vAlign w:val="bottom"/>
          </w:tcPr>
          <w:p w14:paraId="2EB90585" w14:textId="047005D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2,408,267.5</w:t>
            </w:r>
          </w:p>
        </w:tc>
        <w:tc>
          <w:tcPr>
            <w:tcW w:w="385" w:type="pct"/>
            <w:tcBorders>
              <w:top w:val="nil"/>
              <w:left w:val="nil"/>
              <w:bottom w:val="nil"/>
              <w:right w:val="nil"/>
            </w:tcBorders>
            <w:shd w:val="clear" w:color="auto" w:fill="auto"/>
            <w:noWrap/>
            <w:vAlign w:val="bottom"/>
          </w:tcPr>
          <w:p w14:paraId="0B159843" w14:textId="589BCFE2"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2,447,730.2</w:t>
            </w:r>
          </w:p>
        </w:tc>
        <w:tc>
          <w:tcPr>
            <w:tcW w:w="385" w:type="pct"/>
            <w:tcBorders>
              <w:top w:val="nil"/>
              <w:left w:val="nil"/>
              <w:bottom w:val="nil"/>
              <w:right w:val="nil"/>
            </w:tcBorders>
            <w:shd w:val="clear" w:color="auto" w:fill="auto"/>
            <w:noWrap/>
            <w:vAlign w:val="bottom"/>
          </w:tcPr>
          <w:p w14:paraId="567EE6C1" w14:textId="6C82EA57"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2,487,192.9</w:t>
            </w:r>
          </w:p>
        </w:tc>
        <w:tc>
          <w:tcPr>
            <w:tcW w:w="386" w:type="pct"/>
            <w:tcBorders>
              <w:top w:val="nil"/>
              <w:left w:val="nil"/>
              <w:bottom w:val="nil"/>
              <w:right w:val="nil"/>
            </w:tcBorders>
            <w:shd w:val="clear" w:color="auto" w:fill="auto"/>
            <w:noWrap/>
            <w:vAlign w:val="bottom"/>
          </w:tcPr>
          <w:p w14:paraId="5D675E97" w14:textId="3CAEA21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2,539,935.0</w:t>
            </w:r>
          </w:p>
        </w:tc>
      </w:tr>
      <w:tr w:rsidR="004463E3" w:rsidRPr="001B5043" w14:paraId="630556F5" w14:textId="77777777" w:rsidTr="008A7FD7">
        <w:trPr>
          <w:trHeight w:val="315"/>
        </w:trPr>
        <w:tc>
          <w:tcPr>
            <w:tcW w:w="759" w:type="pct"/>
            <w:tcBorders>
              <w:top w:val="nil"/>
              <w:left w:val="nil"/>
              <w:bottom w:val="single" w:sz="4" w:space="0" w:color="auto"/>
              <w:right w:val="nil"/>
            </w:tcBorders>
            <w:shd w:val="clear" w:color="000000" w:fill="FFFFFF"/>
            <w:noWrap/>
            <w:vAlign w:val="bottom"/>
            <w:hideMark/>
          </w:tcPr>
          <w:p w14:paraId="070B57EE"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deltaC project</w:t>
            </w:r>
          </w:p>
        </w:tc>
        <w:tc>
          <w:tcPr>
            <w:tcW w:w="385" w:type="pct"/>
            <w:tcBorders>
              <w:top w:val="nil"/>
              <w:left w:val="nil"/>
              <w:bottom w:val="single" w:sz="4" w:space="0" w:color="auto"/>
              <w:right w:val="nil"/>
            </w:tcBorders>
            <w:shd w:val="clear" w:color="000000" w:fill="FFFFFF"/>
            <w:noWrap/>
            <w:vAlign w:val="bottom"/>
          </w:tcPr>
          <w:p w14:paraId="5938FC28" w14:textId="128E5881"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single" w:sz="4" w:space="0" w:color="auto"/>
              <w:right w:val="nil"/>
            </w:tcBorders>
            <w:shd w:val="clear" w:color="000000" w:fill="FFFFFF"/>
            <w:noWrap/>
            <w:vAlign w:val="bottom"/>
          </w:tcPr>
          <w:p w14:paraId="7A2E7B4C" w14:textId="79E60D26"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-35,340.9</w:t>
            </w:r>
          </w:p>
        </w:tc>
        <w:tc>
          <w:tcPr>
            <w:tcW w:w="385" w:type="pct"/>
            <w:tcBorders>
              <w:top w:val="nil"/>
              <w:left w:val="nil"/>
              <w:bottom w:val="single" w:sz="4" w:space="0" w:color="auto"/>
              <w:right w:val="nil"/>
            </w:tcBorders>
            <w:shd w:val="clear" w:color="000000" w:fill="FFFFFF"/>
            <w:noWrap/>
            <w:vAlign w:val="bottom"/>
          </w:tcPr>
          <w:p w14:paraId="643CFA9C" w14:textId="0993652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43,225.3</w:t>
            </w:r>
          </w:p>
        </w:tc>
        <w:tc>
          <w:tcPr>
            <w:tcW w:w="387" w:type="pct"/>
            <w:tcBorders>
              <w:top w:val="nil"/>
              <w:left w:val="nil"/>
              <w:bottom w:val="single" w:sz="4" w:space="0" w:color="auto"/>
              <w:right w:val="nil"/>
            </w:tcBorders>
            <w:shd w:val="clear" w:color="000000" w:fill="FFFFFF"/>
            <w:noWrap/>
            <w:vAlign w:val="bottom"/>
          </w:tcPr>
          <w:p w14:paraId="12671102" w14:textId="769CC78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43,225.3</w:t>
            </w:r>
          </w:p>
        </w:tc>
        <w:tc>
          <w:tcPr>
            <w:tcW w:w="385" w:type="pct"/>
            <w:tcBorders>
              <w:top w:val="nil"/>
              <w:left w:val="nil"/>
              <w:bottom w:val="single" w:sz="4" w:space="0" w:color="auto"/>
              <w:right w:val="nil"/>
            </w:tcBorders>
            <w:shd w:val="clear" w:color="000000" w:fill="FFFFFF"/>
            <w:noWrap/>
            <w:vAlign w:val="bottom"/>
          </w:tcPr>
          <w:p w14:paraId="17044781" w14:textId="77A0A7D7"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43,225.3</w:t>
            </w:r>
          </w:p>
        </w:tc>
        <w:tc>
          <w:tcPr>
            <w:tcW w:w="385" w:type="pct"/>
            <w:tcBorders>
              <w:top w:val="nil"/>
              <w:left w:val="nil"/>
              <w:bottom w:val="single" w:sz="4" w:space="0" w:color="auto"/>
              <w:right w:val="nil"/>
            </w:tcBorders>
            <w:shd w:val="clear" w:color="000000" w:fill="FFFFFF"/>
            <w:noWrap/>
            <w:vAlign w:val="bottom"/>
          </w:tcPr>
          <w:p w14:paraId="1A37E82C" w14:textId="6953DCB6"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55,301.6</w:t>
            </w:r>
          </w:p>
        </w:tc>
        <w:tc>
          <w:tcPr>
            <w:tcW w:w="385" w:type="pct"/>
            <w:tcBorders>
              <w:top w:val="nil"/>
              <w:left w:val="nil"/>
              <w:bottom w:val="single" w:sz="4" w:space="0" w:color="auto"/>
              <w:right w:val="nil"/>
            </w:tcBorders>
            <w:shd w:val="clear" w:color="000000" w:fill="FFFFFF"/>
            <w:noWrap/>
            <w:vAlign w:val="bottom"/>
          </w:tcPr>
          <w:p w14:paraId="6DD29E52" w14:textId="51472AD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-47,051.7</w:t>
            </w:r>
          </w:p>
        </w:tc>
        <w:tc>
          <w:tcPr>
            <w:tcW w:w="386" w:type="pct"/>
            <w:tcBorders>
              <w:top w:val="nil"/>
              <w:left w:val="nil"/>
              <w:bottom w:val="single" w:sz="4" w:space="0" w:color="auto"/>
              <w:right w:val="nil"/>
            </w:tcBorders>
            <w:shd w:val="clear" w:color="000000" w:fill="FFFFFF"/>
            <w:noWrap/>
            <w:vAlign w:val="bottom"/>
          </w:tcPr>
          <w:p w14:paraId="4410B4C9" w14:textId="3242D265"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39,462.7</w:t>
            </w:r>
          </w:p>
        </w:tc>
        <w:tc>
          <w:tcPr>
            <w:tcW w:w="385" w:type="pct"/>
            <w:tcBorders>
              <w:top w:val="nil"/>
              <w:left w:val="nil"/>
              <w:bottom w:val="single" w:sz="4" w:space="0" w:color="auto"/>
              <w:right w:val="nil"/>
            </w:tcBorders>
            <w:shd w:val="clear" w:color="000000" w:fill="FFFFFF"/>
            <w:noWrap/>
            <w:vAlign w:val="bottom"/>
          </w:tcPr>
          <w:p w14:paraId="4FF46CBE" w14:textId="488E3C3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39,462.7</w:t>
            </w:r>
          </w:p>
        </w:tc>
        <w:tc>
          <w:tcPr>
            <w:tcW w:w="385" w:type="pct"/>
            <w:tcBorders>
              <w:top w:val="nil"/>
              <w:left w:val="nil"/>
              <w:bottom w:val="single" w:sz="4" w:space="0" w:color="auto"/>
              <w:right w:val="nil"/>
            </w:tcBorders>
            <w:shd w:val="clear" w:color="000000" w:fill="FFFFFF"/>
            <w:noWrap/>
            <w:vAlign w:val="bottom"/>
          </w:tcPr>
          <w:p w14:paraId="6EFC9A2D" w14:textId="13A7F2E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39,462.7</w:t>
            </w:r>
          </w:p>
        </w:tc>
        <w:tc>
          <w:tcPr>
            <w:tcW w:w="386" w:type="pct"/>
            <w:tcBorders>
              <w:top w:val="nil"/>
              <w:left w:val="nil"/>
              <w:bottom w:val="single" w:sz="4" w:space="0" w:color="auto"/>
              <w:right w:val="nil"/>
            </w:tcBorders>
            <w:shd w:val="clear" w:color="000000" w:fill="FFFFFF"/>
            <w:noWrap/>
            <w:vAlign w:val="bottom"/>
          </w:tcPr>
          <w:p w14:paraId="6BB3926D" w14:textId="2D1F40B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52,742.1</w:t>
            </w:r>
          </w:p>
        </w:tc>
      </w:tr>
      <w:tr w:rsidR="004463E3" w:rsidRPr="001B5043" w14:paraId="24A0AA7F" w14:textId="77777777" w:rsidTr="008A7FD7">
        <w:trPr>
          <w:trHeight w:val="285"/>
        </w:trPr>
        <w:tc>
          <w:tcPr>
            <w:tcW w:w="759" w:type="pct"/>
            <w:tcBorders>
              <w:top w:val="nil"/>
              <w:left w:val="nil"/>
              <w:bottom w:val="nil"/>
              <w:right w:val="nil"/>
            </w:tcBorders>
            <w:shd w:val="clear" w:color="000000" w:fill="FFFFFF"/>
            <w:noWrap/>
            <w:vAlign w:val="bottom"/>
            <w:hideMark/>
          </w:tcPr>
          <w:p w14:paraId="5EE5DC7A" w14:textId="77777777" w:rsidR="004463E3" w:rsidRPr="001B5043" w:rsidRDefault="004463E3" w:rsidP="004463E3">
            <w:pPr>
              <w:spacing w:after="0" w:line="240" w:lineRule="auto"/>
              <w:rPr>
                <w:rFonts w:ascii="Calibri" w:eastAsia="Times New Roman" w:hAnsi="Calibri" w:cs="Calibri"/>
                <w:b/>
                <w:bCs/>
                <w:color w:val="000000"/>
                <w:sz w:val="16"/>
                <w:szCs w:val="16"/>
              </w:rPr>
            </w:pPr>
            <w:r w:rsidRPr="001B5043">
              <w:rPr>
                <w:rFonts w:ascii="Calibri" w:eastAsia="Times New Roman" w:hAnsi="Calibri" w:cs="Calibri"/>
                <w:b/>
                <w:bCs/>
                <w:color w:val="000000"/>
                <w:sz w:val="16"/>
                <w:szCs w:val="16"/>
              </w:rPr>
              <w:t> </w:t>
            </w:r>
          </w:p>
        </w:tc>
        <w:tc>
          <w:tcPr>
            <w:tcW w:w="385" w:type="pct"/>
            <w:tcBorders>
              <w:top w:val="nil"/>
              <w:left w:val="nil"/>
              <w:bottom w:val="nil"/>
              <w:right w:val="nil"/>
            </w:tcBorders>
            <w:shd w:val="clear" w:color="000000" w:fill="FFFFFF"/>
            <w:noWrap/>
            <w:vAlign w:val="bottom"/>
          </w:tcPr>
          <w:p w14:paraId="33482E9B" w14:textId="2303A047"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7330B491" w14:textId="5D2882CE"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2E8C0AB9" w14:textId="762F0FD2"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7" w:type="pct"/>
            <w:tcBorders>
              <w:top w:val="nil"/>
              <w:left w:val="nil"/>
              <w:bottom w:val="nil"/>
              <w:right w:val="nil"/>
            </w:tcBorders>
            <w:shd w:val="clear" w:color="000000" w:fill="FFFFFF"/>
            <w:noWrap/>
            <w:vAlign w:val="bottom"/>
          </w:tcPr>
          <w:p w14:paraId="4D843259" w14:textId="067ED637"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638C63AF" w14:textId="4AECB740"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1BD92B3C" w14:textId="763EDFB9"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755C5D88" w14:textId="6519B55D"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6" w:type="pct"/>
            <w:tcBorders>
              <w:top w:val="nil"/>
              <w:left w:val="nil"/>
              <w:bottom w:val="nil"/>
              <w:right w:val="nil"/>
            </w:tcBorders>
            <w:shd w:val="clear" w:color="000000" w:fill="FFFFFF"/>
            <w:noWrap/>
            <w:vAlign w:val="bottom"/>
          </w:tcPr>
          <w:p w14:paraId="737D2835" w14:textId="264FA60D"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237C788F" w14:textId="58A1FE76"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7929D0CD" w14:textId="59ABE87B"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6" w:type="pct"/>
            <w:tcBorders>
              <w:top w:val="nil"/>
              <w:left w:val="nil"/>
              <w:bottom w:val="nil"/>
              <w:right w:val="nil"/>
            </w:tcBorders>
            <w:shd w:val="clear" w:color="000000" w:fill="FFFFFF"/>
            <w:noWrap/>
            <w:vAlign w:val="bottom"/>
          </w:tcPr>
          <w:p w14:paraId="543C33EB" w14:textId="33029AF0"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r>
      <w:tr w:rsidR="004463E3" w:rsidRPr="001B5043" w14:paraId="3CAA5A3E" w14:textId="77777777" w:rsidTr="008A7FD7">
        <w:trPr>
          <w:trHeight w:val="285"/>
        </w:trPr>
        <w:tc>
          <w:tcPr>
            <w:tcW w:w="759" w:type="pct"/>
            <w:tcBorders>
              <w:top w:val="nil"/>
              <w:left w:val="nil"/>
              <w:bottom w:val="nil"/>
              <w:right w:val="nil"/>
            </w:tcBorders>
            <w:shd w:val="clear" w:color="000000" w:fill="FFFFFF"/>
            <w:noWrap/>
            <w:vAlign w:val="bottom"/>
            <w:hideMark/>
          </w:tcPr>
          <w:p w14:paraId="42B981BC"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Total uncertainty</w:t>
            </w:r>
          </w:p>
        </w:tc>
        <w:tc>
          <w:tcPr>
            <w:tcW w:w="385" w:type="pct"/>
            <w:tcBorders>
              <w:top w:val="nil"/>
              <w:left w:val="nil"/>
              <w:bottom w:val="nil"/>
              <w:right w:val="nil"/>
            </w:tcBorders>
            <w:shd w:val="clear" w:color="000000" w:fill="FFFFFF"/>
            <w:noWrap/>
            <w:vAlign w:val="bottom"/>
          </w:tcPr>
          <w:p w14:paraId="61B2DA98" w14:textId="05FEC461"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2578D622" w14:textId="19C072E4"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0.06</w:t>
            </w:r>
          </w:p>
        </w:tc>
        <w:tc>
          <w:tcPr>
            <w:tcW w:w="385" w:type="pct"/>
            <w:tcBorders>
              <w:top w:val="nil"/>
              <w:left w:val="nil"/>
              <w:bottom w:val="nil"/>
              <w:right w:val="nil"/>
            </w:tcBorders>
            <w:shd w:val="clear" w:color="000000" w:fill="FFFFFF"/>
            <w:noWrap/>
            <w:vAlign w:val="bottom"/>
          </w:tcPr>
          <w:p w14:paraId="27BB92D2" w14:textId="07044A68"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0.05</w:t>
            </w:r>
          </w:p>
        </w:tc>
        <w:tc>
          <w:tcPr>
            <w:tcW w:w="387" w:type="pct"/>
            <w:tcBorders>
              <w:top w:val="nil"/>
              <w:left w:val="nil"/>
              <w:bottom w:val="nil"/>
              <w:right w:val="nil"/>
            </w:tcBorders>
            <w:shd w:val="clear" w:color="000000" w:fill="FFFFFF"/>
            <w:noWrap/>
            <w:vAlign w:val="bottom"/>
          </w:tcPr>
          <w:p w14:paraId="61FC4C2B" w14:textId="4AA7266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0.05</w:t>
            </w:r>
          </w:p>
        </w:tc>
        <w:tc>
          <w:tcPr>
            <w:tcW w:w="385" w:type="pct"/>
            <w:tcBorders>
              <w:top w:val="nil"/>
              <w:left w:val="nil"/>
              <w:bottom w:val="nil"/>
              <w:right w:val="nil"/>
            </w:tcBorders>
            <w:shd w:val="clear" w:color="000000" w:fill="FFFFFF"/>
            <w:noWrap/>
            <w:vAlign w:val="bottom"/>
          </w:tcPr>
          <w:p w14:paraId="2702EB35" w14:textId="09787D0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0.05</w:t>
            </w:r>
          </w:p>
        </w:tc>
        <w:tc>
          <w:tcPr>
            <w:tcW w:w="385" w:type="pct"/>
            <w:tcBorders>
              <w:top w:val="nil"/>
              <w:left w:val="nil"/>
              <w:bottom w:val="nil"/>
              <w:right w:val="nil"/>
            </w:tcBorders>
            <w:shd w:val="clear" w:color="000000" w:fill="FFFFFF"/>
            <w:noWrap/>
            <w:vAlign w:val="bottom"/>
          </w:tcPr>
          <w:p w14:paraId="36062513" w14:textId="6E625AC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0.05</w:t>
            </w:r>
          </w:p>
        </w:tc>
        <w:tc>
          <w:tcPr>
            <w:tcW w:w="385" w:type="pct"/>
            <w:tcBorders>
              <w:top w:val="nil"/>
              <w:left w:val="nil"/>
              <w:bottom w:val="nil"/>
              <w:right w:val="nil"/>
            </w:tcBorders>
            <w:shd w:val="clear" w:color="000000" w:fill="FFFFFF"/>
            <w:noWrap/>
            <w:vAlign w:val="bottom"/>
          </w:tcPr>
          <w:p w14:paraId="24C9150F" w14:textId="4E4246B5"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0.05</w:t>
            </w:r>
          </w:p>
        </w:tc>
        <w:tc>
          <w:tcPr>
            <w:tcW w:w="386" w:type="pct"/>
            <w:tcBorders>
              <w:top w:val="nil"/>
              <w:left w:val="nil"/>
              <w:bottom w:val="nil"/>
              <w:right w:val="nil"/>
            </w:tcBorders>
            <w:shd w:val="clear" w:color="000000" w:fill="FFFFFF"/>
            <w:noWrap/>
            <w:vAlign w:val="bottom"/>
          </w:tcPr>
          <w:p w14:paraId="51399B0B" w14:textId="5F9F7EA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0.05</w:t>
            </w:r>
          </w:p>
        </w:tc>
        <w:tc>
          <w:tcPr>
            <w:tcW w:w="385" w:type="pct"/>
            <w:tcBorders>
              <w:top w:val="nil"/>
              <w:left w:val="nil"/>
              <w:bottom w:val="nil"/>
              <w:right w:val="nil"/>
            </w:tcBorders>
            <w:shd w:val="clear" w:color="000000" w:fill="FFFFFF"/>
            <w:noWrap/>
            <w:vAlign w:val="bottom"/>
          </w:tcPr>
          <w:p w14:paraId="29FDD07C" w14:textId="04CB5C1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0.05</w:t>
            </w:r>
          </w:p>
        </w:tc>
        <w:tc>
          <w:tcPr>
            <w:tcW w:w="385" w:type="pct"/>
            <w:tcBorders>
              <w:top w:val="nil"/>
              <w:left w:val="nil"/>
              <w:bottom w:val="nil"/>
              <w:right w:val="nil"/>
            </w:tcBorders>
            <w:shd w:val="clear" w:color="000000" w:fill="FFFFFF"/>
            <w:noWrap/>
            <w:vAlign w:val="bottom"/>
          </w:tcPr>
          <w:p w14:paraId="0933F693" w14:textId="0897818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0.05</w:t>
            </w:r>
          </w:p>
        </w:tc>
        <w:tc>
          <w:tcPr>
            <w:tcW w:w="386" w:type="pct"/>
            <w:tcBorders>
              <w:top w:val="nil"/>
              <w:left w:val="nil"/>
              <w:bottom w:val="nil"/>
              <w:right w:val="nil"/>
            </w:tcBorders>
            <w:shd w:val="clear" w:color="000000" w:fill="FFFFFF"/>
            <w:noWrap/>
            <w:vAlign w:val="bottom"/>
          </w:tcPr>
          <w:p w14:paraId="29870A7E" w14:textId="37518006"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0.05</w:t>
            </w:r>
          </w:p>
        </w:tc>
      </w:tr>
      <w:tr w:rsidR="004463E3" w:rsidRPr="001B5043" w14:paraId="243CAD25" w14:textId="77777777" w:rsidTr="008A7FD7">
        <w:trPr>
          <w:trHeight w:val="315"/>
        </w:trPr>
        <w:tc>
          <w:tcPr>
            <w:tcW w:w="759" w:type="pct"/>
            <w:tcBorders>
              <w:top w:val="nil"/>
              <w:left w:val="nil"/>
              <w:bottom w:val="nil"/>
              <w:right w:val="nil"/>
            </w:tcBorders>
            <w:shd w:val="clear" w:color="000000" w:fill="FFFFFF"/>
            <w:noWrap/>
            <w:vAlign w:val="bottom"/>
            <w:hideMark/>
          </w:tcPr>
          <w:p w14:paraId="6E54C786"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Emissions reduction at t</w:t>
            </w:r>
          </w:p>
        </w:tc>
        <w:tc>
          <w:tcPr>
            <w:tcW w:w="385" w:type="pct"/>
            <w:tcBorders>
              <w:top w:val="nil"/>
              <w:left w:val="nil"/>
              <w:bottom w:val="nil"/>
              <w:right w:val="nil"/>
            </w:tcBorders>
            <w:shd w:val="clear" w:color="000000" w:fill="FFFFFF"/>
            <w:noWrap/>
            <w:vAlign w:val="bottom"/>
          </w:tcPr>
          <w:p w14:paraId="45775910" w14:textId="4CA92771"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0EA09E8C" w14:textId="105AFBE9"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89,192.0</w:t>
            </w:r>
          </w:p>
        </w:tc>
        <w:tc>
          <w:tcPr>
            <w:tcW w:w="385" w:type="pct"/>
            <w:tcBorders>
              <w:top w:val="nil"/>
              <w:left w:val="nil"/>
              <w:bottom w:val="nil"/>
              <w:right w:val="nil"/>
            </w:tcBorders>
            <w:shd w:val="clear" w:color="000000" w:fill="FFFFFF"/>
            <w:noWrap/>
            <w:vAlign w:val="bottom"/>
          </w:tcPr>
          <w:p w14:paraId="42EF0B45" w14:textId="0D7ED5AA"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69,955.0</w:t>
            </w:r>
          </w:p>
        </w:tc>
        <w:tc>
          <w:tcPr>
            <w:tcW w:w="387" w:type="pct"/>
            <w:tcBorders>
              <w:top w:val="nil"/>
              <w:left w:val="nil"/>
              <w:bottom w:val="nil"/>
              <w:right w:val="nil"/>
            </w:tcBorders>
            <w:shd w:val="clear" w:color="000000" w:fill="FFFFFF"/>
            <w:noWrap/>
            <w:vAlign w:val="bottom"/>
          </w:tcPr>
          <w:p w14:paraId="6790288F" w14:textId="55D7A13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73,588.0</w:t>
            </w:r>
          </w:p>
        </w:tc>
        <w:tc>
          <w:tcPr>
            <w:tcW w:w="385" w:type="pct"/>
            <w:tcBorders>
              <w:top w:val="nil"/>
              <w:left w:val="nil"/>
              <w:bottom w:val="nil"/>
              <w:right w:val="nil"/>
            </w:tcBorders>
            <w:shd w:val="clear" w:color="000000" w:fill="FFFFFF"/>
            <w:noWrap/>
            <w:vAlign w:val="bottom"/>
          </w:tcPr>
          <w:p w14:paraId="2070F5A1" w14:textId="4C4FA4C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75,897.0</w:t>
            </w:r>
          </w:p>
        </w:tc>
        <w:tc>
          <w:tcPr>
            <w:tcW w:w="385" w:type="pct"/>
            <w:tcBorders>
              <w:top w:val="nil"/>
              <w:left w:val="nil"/>
              <w:bottom w:val="nil"/>
              <w:right w:val="nil"/>
            </w:tcBorders>
            <w:shd w:val="clear" w:color="000000" w:fill="FFFFFF"/>
            <w:noWrap/>
            <w:vAlign w:val="bottom"/>
          </w:tcPr>
          <w:p w14:paraId="288BE8BF" w14:textId="26702C5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84,882.0</w:t>
            </w:r>
          </w:p>
        </w:tc>
        <w:tc>
          <w:tcPr>
            <w:tcW w:w="385" w:type="pct"/>
            <w:tcBorders>
              <w:top w:val="nil"/>
              <w:left w:val="nil"/>
              <w:bottom w:val="nil"/>
              <w:right w:val="nil"/>
            </w:tcBorders>
            <w:shd w:val="clear" w:color="000000" w:fill="FFFFFF"/>
            <w:noWrap/>
            <w:vAlign w:val="bottom"/>
          </w:tcPr>
          <w:p w14:paraId="1A6CB743" w14:textId="3861261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25,668.0</w:t>
            </w:r>
          </w:p>
        </w:tc>
        <w:tc>
          <w:tcPr>
            <w:tcW w:w="386" w:type="pct"/>
            <w:tcBorders>
              <w:top w:val="nil"/>
              <w:left w:val="nil"/>
              <w:bottom w:val="nil"/>
              <w:right w:val="nil"/>
            </w:tcBorders>
            <w:shd w:val="clear" w:color="000000" w:fill="FFFFFF"/>
            <w:noWrap/>
            <w:vAlign w:val="bottom"/>
          </w:tcPr>
          <w:p w14:paraId="57BF50F1" w14:textId="01FE6A0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79,128.0</w:t>
            </w:r>
          </w:p>
        </w:tc>
        <w:tc>
          <w:tcPr>
            <w:tcW w:w="385" w:type="pct"/>
            <w:tcBorders>
              <w:top w:val="nil"/>
              <w:left w:val="nil"/>
              <w:bottom w:val="nil"/>
              <w:right w:val="nil"/>
            </w:tcBorders>
            <w:shd w:val="clear" w:color="000000" w:fill="FFFFFF"/>
            <w:noWrap/>
            <w:vAlign w:val="bottom"/>
          </w:tcPr>
          <w:p w14:paraId="619111F4" w14:textId="1836D1E2"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80,421.0</w:t>
            </w:r>
          </w:p>
        </w:tc>
        <w:tc>
          <w:tcPr>
            <w:tcW w:w="385" w:type="pct"/>
            <w:tcBorders>
              <w:top w:val="nil"/>
              <w:left w:val="nil"/>
              <w:bottom w:val="nil"/>
              <w:right w:val="nil"/>
            </w:tcBorders>
            <w:shd w:val="clear" w:color="000000" w:fill="FFFFFF"/>
            <w:noWrap/>
            <w:vAlign w:val="bottom"/>
          </w:tcPr>
          <w:p w14:paraId="156AA6C5" w14:textId="0A1E933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82,046.0</w:t>
            </w:r>
          </w:p>
        </w:tc>
        <w:tc>
          <w:tcPr>
            <w:tcW w:w="386" w:type="pct"/>
            <w:tcBorders>
              <w:top w:val="nil"/>
              <w:left w:val="nil"/>
              <w:bottom w:val="nil"/>
              <w:right w:val="nil"/>
            </w:tcBorders>
            <w:shd w:val="clear" w:color="000000" w:fill="FFFFFF"/>
            <w:noWrap/>
            <w:vAlign w:val="bottom"/>
          </w:tcPr>
          <w:p w14:paraId="378C80F9" w14:textId="520158E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92,094.0</w:t>
            </w:r>
          </w:p>
        </w:tc>
      </w:tr>
      <w:tr w:rsidR="004463E3" w:rsidRPr="001B5043" w14:paraId="4533860C" w14:textId="77777777" w:rsidTr="008A7FD7">
        <w:trPr>
          <w:trHeight w:val="315"/>
        </w:trPr>
        <w:tc>
          <w:tcPr>
            <w:tcW w:w="759" w:type="pct"/>
            <w:tcBorders>
              <w:top w:val="nil"/>
              <w:left w:val="nil"/>
              <w:bottom w:val="nil"/>
              <w:right w:val="nil"/>
            </w:tcBorders>
            <w:shd w:val="clear" w:color="auto" w:fill="auto"/>
            <w:noWrap/>
            <w:vAlign w:val="bottom"/>
            <w:hideMark/>
          </w:tcPr>
          <w:p w14:paraId="46CB325E"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Negative C balance</w:t>
            </w:r>
          </w:p>
        </w:tc>
        <w:tc>
          <w:tcPr>
            <w:tcW w:w="385" w:type="pct"/>
            <w:tcBorders>
              <w:top w:val="nil"/>
              <w:left w:val="nil"/>
              <w:bottom w:val="nil"/>
              <w:right w:val="nil"/>
            </w:tcBorders>
            <w:shd w:val="clear" w:color="auto" w:fill="auto"/>
            <w:noWrap/>
            <w:vAlign w:val="bottom"/>
          </w:tcPr>
          <w:p w14:paraId="7C581663" w14:textId="77777777" w:rsidR="004463E3" w:rsidRPr="008A7FD7" w:rsidRDefault="004463E3" w:rsidP="004463E3">
            <w:pPr>
              <w:spacing w:after="0" w:line="240" w:lineRule="auto"/>
              <w:rPr>
                <w:rFonts w:eastAsia="Times New Roman" w:cstheme="minorHAnsi"/>
                <w:color w:val="000000"/>
                <w:sz w:val="16"/>
                <w:szCs w:val="16"/>
              </w:rPr>
            </w:pPr>
          </w:p>
        </w:tc>
        <w:tc>
          <w:tcPr>
            <w:tcW w:w="385" w:type="pct"/>
            <w:tcBorders>
              <w:top w:val="nil"/>
              <w:left w:val="nil"/>
              <w:bottom w:val="nil"/>
              <w:right w:val="nil"/>
            </w:tcBorders>
            <w:shd w:val="clear" w:color="auto" w:fill="auto"/>
            <w:noWrap/>
            <w:vAlign w:val="bottom"/>
          </w:tcPr>
          <w:p w14:paraId="5A5FD6CA" w14:textId="18BB6B4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auto" w:fill="auto"/>
            <w:noWrap/>
            <w:vAlign w:val="bottom"/>
          </w:tcPr>
          <w:p w14:paraId="29BFE2EB" w14:textId="691078A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7" w:type="pct"/>
            <w:tcBorders>
              <w:top w:val="nil"/>
              <w:left w:val="nil"/>
              <w:bottom w:val="nil"/>
              <w:right w:val="nil"/>
            </w:tcBorders>
            <w:shd w:val="clear" w:color="auto" w:fill="auto"/>
            <w:noWrap/>
            <w:vAlign w:val="bottom"/>
          </w:tcPr>
          <w:p w14:paraId="41711B8D" w14:textId="37F2BA4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auto" w:fill="auto"/>
            <w:noWrap/>
            <w:vAlign w:val="bottom"/>
          </w:tcPr>
          <w:p w14:paraId="2B3AC352" w14:textId="75DFF992"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auto" w:fill="auto"/>
            <w:noWrap/>
            <w:vAlign w:val="bottom"/>
          </w:tcPr>
          <w:p w14:paraId="0863E521" w14:textId="2C764B74"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auto" w:fill="auto"/>
            <w:noWrap/>
            <w:vAlign w:val="bottom"/>
          </w:tcPr>
          <w:p w14:paraId="7B59C946" w14:textId="51396CE4"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6" w:type="pct"/>
            <w:tcBorders>
              <w:top w:val="nil"/>
              <w:left w:val="nil"/>
              <w:bottom w:val="nil"/>
              <w:right w:val="nil"/>
            </w:tcBorders>
            <w:shd w:val="clear" w:color="auto" w:fill="auto"/>
            <w:noWrap/>
            <w:vAlign w:val="bottom"/>
          </w:tcPr>
          <w:p w14:paraId="3E8B7BAA" w14:textId="2313592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auto" w:fill="auto"/>
            <w:noWrap/>
            <w:vAlign w:val="bottom"/>
          </w:tcPr>
          <w:p w14:paraId="0813FEB4" w14:textId="3850A78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auto" w:fill="auto"/>
            <w:noWrap/>
            <w:vAlign w:val="bottom"/>
          </w:tcPr>
          <w:p w14:paraId="021EFFFC" w14:textId="0936D46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6" w:type="pct"/>
            <w:tcBorders>
              <w:top w:val="nil"/>
              <w:left w:val="nil"/>
              <w:bottom w:val="nil"/>
              <w:right w:val="nil"/>
            </w:tcBorders>
            <w:shd w:val="clear" w:color="auto" w:fill="auto"/>
            <w:noWrap/>
            <w:vAlign w:val="bottom"/>
          </w:tcPr>
          <w:p w14:paraId="7A4F09AF" w14:textId="177E893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r>
      <w:tr w:rsidR="004463E3" w:rsidRPr="001B5043" w14:paraId="72639566" w14:textId="77777777" w:rsidTr="008A7FD7">
        <w:trPr>
          <w:trHeight w:val="285"/>
        </w:trPr>
        <w:tc>
          <w:tcPr>
            <w:tcW w:w="759" w:type="pct"/>
            <w:tcBorders>
              <w:top w:val="nil"/>
              <w:left w:val="nil"/>
              <w:bottom w:val="nil"/>
              <w:right w:val="nil"/>
            </w:tcBorders>
            <w:shd w:val="clear" w:color="000000" w:fill="FFFFFF"/>
            <w:noWrap/>
            <w:vAlign w:val="bottom"/>
            <w:hideMark/>
          </w:tcPr>
          <w:p w14:paraId="64AA547F"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ERTs Issued at time t</w:t>
            </w:r>
          </w:p>
        </w:tc>
        <w:tc>
          <w:tcPr>
            <w:tcW w:w="385" w:type="pct"/>
            <w:tcBorders>
              <w:top w:val="nil"/>
              <w:left w:val="nil"/>
              <w:bottom w:val="nil"/>
              <w:right w:val="nil"/>
            </w:tcBorders>
            <w:shd w:val="clear" w:color="000000" w:fill="FFFFFF"/>
            <w:noWrap/>
            <w:vAlign w:val="bottom"/>
          </w:tcPr>
          <w:p w14:paraId="757879AE" w14:textId="6C6400F6"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29E0F77B" w14:textId="5385DDB8"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89,192.0</w:t>
            </w:r>
          </w:p>
        </w:tc>
        <w:tc>
          <w:tcPr>
            <w:tcW w:w="385" w:type="pct"/>
            <w:tcBorders>
              <w:top w:val="nil"/>
              <w:left w:val="nil"/>
              <w:bottom w:val="nil"/>
              <w:right w:val="nil"/>
            </w:tcBorders>
            <w:shd w:val="clear" w:color="000000" w:fill="FFFFFF"/>
            <w:noWrap/>
            <w:vAlign w:val="bottom"/>
          </w:tcPr>
          <w:p w14:paraId="3682F97C" w14:textId="5197BB87"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69,955.0</w:t>
            </w:r>
          </w:p>
        </w:tc>
        <w:tc>
          <w:tcPr>
            <w:tcW w:w="387" w:type="pct"/>
            <w:tcBorders>
              <w:top w:val="nil"/>
              <w:left w:val="nil"/>
              <w:bottom w:val="nil"/>
              <w:right w:val="nil"/>
            </w:tcBorders>
            <w:shd w:val="clear" w:color="000000" w:fill="FFFFFF"/>
            <w:noWrap/>
            <w:vAlign w:val="bottom"/>
          </w:tcPr>
          <w:p w14:paraId="59A9CEAE" w14:textId="45020229"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73,588.0</w:t>
            </w:r>
          </w:p>
        </w:tc>
        <w:tc>
          <w:tcPr>
            <w:tcW w:w="385" w:type="pct"/>
            <w:tcBorders>
              <w:top w:val="nil"/>
              <w:left w:val="nil"/>
              <w:bottom w:val="nil"/>
              <w:right w:val="nil"/>
            </w:tcBorders>
            <w:shd w:val="clear" w:color="000000" w:fill="FFFFFF"/>
            <w:noWrap/>
            <w:vAlign w:val="bottom"/>
          </w:tcPr>
          <w:p w14:paraId="626AD1BC" w14:textId="7919A9B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75,897.0</w:t>
            </w:r>
          </w:p>
        </w:tc>
        <w:tc>
          <w:tcPr>
            <w:tcW w:w="385" w:type="pct"/>
            <w:tcBorders>
              <w:top w:val="nil"/>
              <w:left w:val="nil"/>
              <w:bottom w:val="nil"/>
              <w:right w:val="nil"/>
            </w:tcBorders>
            <w:shd w:val="clear" w:color="000000" w:fill="FFFFFF"/>
            <w:noWrap/>
            <w:vAlign w:val="bottom"/>
          </w:tcPr>
          <w:p w14:paraId="36FD020C" w14:textId="41AAAA8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84,882.0</w:t>
            </w:r>
          </w:p>
        </w:tc>
        <w:tc>
          <w:tcPr>
            <w:tcW w:w="385" w:type="pct"/>
            <w:tcBorders>
              <w:top w:val="nil"/>
              <w:left w:val="nil"/>
              <w:bottom w:val="nil"/>
              <w:right w:val="nil"/>
            </w:tcBorders>
            <w:shd w:val="clear" w:color="000000" w:fill="FFFFFF"/>
            <w:noWrap/>
            <w:vAlign w:val="bottom"/>
          </w:tcPr>
          <w:p w14:paraId="23445DA7" w14:textId="4B5BCE76"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25,668.0</w:t>
            </w:r>
          </w:p>
        </w:tc>
        <w:tc>
          <w:tcPr>
            <w:tcW w:w="386" w:type="pct"/>
            <w:tcBorders>
              <w:top w:val="nil"/>
              <w:left w:val="nil"/>
              <w:bottom w:val="nil"/>
              <w:right w:val="nil"/>
            </w:tcBorders>
            <w:shd w:val="clear" w:color="000000" w:fill="FFFFFF"/>
            <w:noWrap/>
            <w:vAlign w:val="bottom"/>
          </w:tcPr>
          <w:p w14:paraId="10C99A99" w14:textId="1C0C562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79,128.0</w:t>
            </w:r>
          </w:p>
        </w:tc>
        <w:tc>
          <w:tcPr>
            <w:tcW w:w="385" w:type="pct"/>
            <w:tcBorders>
              <w:top w:val="nil"/>
              <w:left w:val="nil"/>
              <w:bottom w:val="nil"/>
              <w:right w:val="nil"/>
            </w:tcBorders>
            <w:shd w:val="clear" w:color="000000" w:fill="FFFFFF"/>
            <w:noWrap/>
            <w:vAlign w:val="bottom"/>
          </w:tcPr>
          <w:p w14:paraId="213CABA3" w14:textId="2052662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80,421.0</w:t>
            </w:r>
          </w:p>
        </w:tc>
        <w:tc>
          <w:tcPr>
            <w:tcW w:w="385" w:type="pct"/>
            <w:tcBorders>
              <w:top w:val="nil"/>
              <w:left w:val="nil"/>
              <w:bottom w:val="nil"/>
              <w:right w:val="nil"/>
            </w:tcBorders>
            <w:shd w:val="clear" w:color="000000" w:fill="FFFFFF"/>
            <w:noWrap/>
            <w:vAlign w:val="bottom"/>
          </w:tcPr>
          <w:p w14:paraId="2F914DB4" w14:textId="14266274"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82,046.0</w:t>
            </w:r>
          </w:p>
        </w:tc>
        <w:tc>
          <w:tcPr>
            <w:tcW w:w="386" w:type="pct"/>
            <w:tcBorders>
              <w:top w:val="nil"/>
              <w:left w:val="nil"/>
              <w:bottom w:val="nil"/>
              <w:right w:val="nil"/>
            </w:tcBorders>
            <w:shd w:val="clear" w:color="000000" w:fill="FFFFFF"/>
            <w:noWrap/>
            <w:vAlign w:val="bottom"/>
          </w:tcPr>
          <w:p w14:paraId="745EC2C9" w14:textId="1F9BC606"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92,094.0</w:t>
            </w:r>
          </w:p>
        </w:tc>
      </w:tr>
      <w:tr w:rsidR="004463E3" w:rsidRPr="001B5043" w14:paraId="5F3B8A94" w14:textId="77777777" w:rsidTr="008A7FD7">
        <w:trPr>
          <w:trHeight w:val="315"/>
        </w:trPr>
        <w:tc>
          <w:tcPr>
            <w:tcW w:w="759" w:type="pct"/>
            <w:tcBorders>
              <w:top w:val="nil"/>
              <w:left w:val="nil"/>
              <w:bottom w:val="nil"/>
              <w:right w:val="nil"/>
            </w:tcBorders>
            <w:shd w:val="clear" w:color="000000" w:fill="FFFFFF"/>
            <w:noWrap/>
            <w:vAlign w:val="bottom"/>
            <w:hideMark/>
          </w:tcPr>
          <w:p w14:paraId="716757F9"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ERTs Transferred In</w:t>
            </w:r>
          </w:p>
        </w:tc>
        <w:tc>
          <w:tcPr>
            <w:tcW w:w="385" w:type="pct"/>
            <w:tcBorders>
              <w:top w:val="nil"/>
              <w:left w:val="nil"/>
              <w:bottom w:val="nil"/>
              <w:right w:val="nil"/>
            </w:tcBorders>
            <w:shd w:val="clear" w:color="000000" w:fill="FFFFFF"/>
            <w:noWrap/>
            <w:vAlign w:val="bottom"/>
          </w:tcPr>
          <w:p w14:paraId="24A6D748" w14:textId="36088B67"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2F9DA752" w14:textId="00D8C33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4E28B72D" w14:textId="16C6C65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7" w:type="pct"/>
            <w:tcBorders>
              <w:top w:val="nil"/>
              <w:left w:val="nil"/>
              <w:bottom w:val="nil"/>
              <w:right w:val="nil"/>
            </w:tcBorders>
            <w:shd w:val="clear" w:color="000000" w:fill="FFFFFF"/>
            <w:noWrap/>
            <w:vAlign w:val="bottom"/>
          </w:tcPr>
          <w:p w14:paraId="0B0810A5" w14:textId="62B2CC05"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4F732E81" w14:textId="0049C2C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10CBFD48" w14:textId="28C3390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7CC074A4" w14:textId="64703D87"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6" w:type="pct"/>
            <w:tcBorders>
              <w:top w:val="nil"/>
              <w:left w:val="nil"/>
              <w:bottom w:val="nil"/>
              <w:right w:val="nil"/>
            </w:tcBorders>
            <w:shd w:val="clear" w:color="000000" w:fill="FFFFFF"/>
            <w:noWrap/>
            <w:vAlign w:val="bottom"/>
          </w:tcPr>
          <w:p w14:paraId="7E47AE56" w14:textId="40F546C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1EF815B3" w14:textId="1CA9E96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2E6542A1" w14:textId="3D6B364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6" w:type="pct"/>
            <w:tcBorders>
              <w:top w:val="nil"/>
              <w:left w:val="nil"/>
              <w:bottom w:val="nil"/>
              <w:right w:val="nil"/>
            </w:tcBorders>
            <w:shd w:val="clear" w:color="000000" w:fill="FFFFFF"/>
            <w:noWrap/>
            <w:vAlign w:val="bottom"/>
          </w:tcPr>
          <w:p w14:paraId="7DB9E2B7" w14:textId="550F4924"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r>
      <w:tr w:rsidR="004463E3" w:rsidRPr="001B5043" w14:paraId="03DE93B2" w14:textId="77777777" w:rsidTr="008A7FD7">
        <w:trPr>
          <w:trHeight w:val="315"/>
        </w:trPr>
        <w:tc>
          <w:tcPr>
            <w:tcW w:w="759" w:type="pct"/>
            <w:tcBorders>
              <w:top w:val="nil"/>
              <w:left w:val="nil"/>
              <w:bottom w:val="nil"/>
              <w:right w:val="nil"/>
            </w:tcBorders>
            <w:shd w:val="clear" w:color="000000" w:fill="FFFFFF"/>
            <w:noWrap/>
            <w:vAlign w:val="bottom"/>
            <w:hideMark/>
          </w:tcPr>
          <w:p w14:paraId="0A40329A"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ERTs Transferred Out</w:t>
            </w:r>
          </w:p>
        </w:tc>
        <w:tc>
          <w:tcPr>
            <w:tcW w:w="385" w:type="pct"/>
            <w:tcBorders>
              <w:top w:val="nil"/>
              <w:left w:val="nil"/>
              <w:bottom w:val="nil"/>
              <w:right w:val="nil"/>
            </w:tcBorders>
            <w:shd w:val="clear" w:color="000000" w:fill="FFFFFF"/>
            <w:noWrap/>
            <w:vAlign w:val="bottom"/>
          </w:tcPr>
          <w:p w14:paraId="5BE1E176" w14:textId="4675DF1E"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03934975" w14:textId="32FD5119"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4475BBF6" w14:textId="3B1D05B2"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7" w:type="pct"/>
            <w:tcBorders>
              <w:top w:val="nil"/>
              <w:left w:val="nil"/>
              <w:bottom w:val="nil"/>
              <w:right w:val="nil"/>
            </w:tcBorders>
            <w:shd w:val="clear" w:color="000000" w:fill="FFFFFF"/>
            <w:noWrap/>
            <w:vAlign w:val="bottom"/>
          </w:tcPr>
          <w:p w14:paraId="73B89784" w14:textId="637060C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0B99AA47" w14:textId="693E317F"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21261B12" w14:textId="11FDC89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4DE93AA2" w14:textId="5005924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6" w:type="pct"/>
            <w:tcBorders>
              <w:top w:val="nil"/>
              <w:left w:val="nil"/>
              <w:bottom w:val="nil"/>
              <w:right w:val="nil"/>
            </w:tcBorders>
            <w:shd w:val="clear" w:color="000000" w:fill="FFFFFF"/>
            <w:noWrap/>
            <w:vAlign w:val="bottom"/>
          </w:tcPr>
          <w:p w14:paraId="077B426E" w14:textId="00C8F7C6"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1EB026D1" w14:textId="38D61BD4"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66CDE3E2" w14:textId="08F6770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6" w:type="pct"/>
            <w:tcBorders>
              <w:top w:val="nil"/>
              <w:left w:val="nil"/>
              <w:bottom w:val="nil"/>
              <w:right w:val="nil"/>
            </w:tcBorders>
            <w:shd w:val="clear" w:color="000000" w:fill="FFFFFF"/>
            <w:noWrap/>
            <w:vAlign w:val="bottom"/>
          </w:tcPr>
          <w:p w14:paraId="03AC4BA4" w14:textId="723FF7EA"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r>
      <w:tr w:rsidR="004463E3" w:rsidRPr="001B5043" w14:paraId="43221667" w14:textId="77777777" w:rsidTr="008A7FD7">
        <w:trPr>
          <w:trHeight w:val="315"/>
        </w:trPr>
        <w:tc>
          <w:tcPr>
            <w:tcW w:w="759" w:type="pct"/>
            <w:tcBorders>
              <w:top w:val="nil"/>
              <w:left w:val="nil"/>
              <w:bottom w:val="nil"/>
              <w:right w:val="nil"/>
            </w:tcBorders>
            <w:shd w:val="clear" w:color="000000" w:fill="FFFFFF"/>
            <w:noWrap/>
            <w:vAlign w:val="bottom"/>
            <w:hideMark/>
          </w:tcPr>
          <w:p w14:paraId="0CD4C139"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ERTs Retired</w:t>
            </w:r>
          </w:p>
        </w:tc>
        <w:tc>
          <w:tcPr>
            <w:tcW w:w="385" w:type="pct"/>
            <w:tcBorders>
              <w:top w:val="nil"/>
              <w:left w:val="nil"/>
              <w:bottom w:val="nil"/>
              <w:right w:val="nil"/>
            </w:tcBorders>
            <w:shd w:val="clear" w:color="000000" w:fill="FFFFFF"/>
            <w:noWrap/>
            <w:vAlign w:val="bottom"/>
          </w:tcPr>
          <w:p w14:paraId="59056BF7" w14:textId="1B16BFB3"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400BCEC7" w14:textId="52C4FAE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20087F49" w14:textId="69D9AD87"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7" w:type="pct"/>
            <w:tcBorders>
              <w:top w:val="nil"/>
              <w:left w:val="nil"/>
              <w:bottom w:val="nil"/>
              <w:right w:val="nil"/>
            </w:tcBorders>
            <w:shd w:val="clear" w:color="000000" w:fill="FFFFFF"/>
            <w:noWrap/>
            <w:vAlign w:val="bottom"/>
          </w:tcPr>
          <w:p w14:paraId="0107E8F1" w14:textId="5EE316C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27801BBA" w14:textId="48EE4229"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78B46E8F" w14:textId="776D059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3D024DF0" w14:textId="2C7D7FBA"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6" w:type="pct"/>
            <w:tcBorders>
              <w:top w:val="nil"/>
              <w:left w:val="nil"/>
              <w:bottom w:val="nil"/>
              <w:right w:val="nil"/>
            </w:tcBorders>
            <w:shd w:val="clear" w:color="000000" w:fill="FFFFFF"/>
            <w:noWrap/>
            <w:vAlign w:val="bottom"/>
          </w:tcPr>
          <w:p w14:paraId="1C74B44D" w14:textId="6599C9D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4435A5B8" w14:textId="57E099E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nil"/>
              <w:left w:val="nil"/>
              <w:bottom w:val="nil"/>
              <w:right w:val="nil"/>
            </w:tcBorders>
            <w:shd w:val="clear" w:color="000000" w:fill="FFFFFF"/>
            <w:noWrap/>
            <w:vAlign w:val="bottom"/>
          </w:tcPr>
          <w:p w14:paraId="59236314" w14:textId="5E7C8B6E"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6" w:type="pct"/>
            <w:tcBorders>
              <w:top w:val="nil"/>
              <w:left w:val="nil"/>
              <w:bottom w:val="nil"/>
              <w:right w:val="nil"/>
            </w:tcBorders>
            <w:shd w:val="clear" w:color="000000" w:fill="FFFFFF"/>
            <w:noWrap/>
            <w:vAlign w:val="bottom"/>
          </w:tcPr>
          <w:p w14:paraId="3D9CCAEF" w14:textId="6AFDDF5D"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r>
      <w:tr w:rsidR="004463E3" w:rsidRPr="001B5043" w14:paraId="4B1074ED" w14:textId="77777777" w:rsidTr="008A7FD7">
        <w:trPr>
          <w:trHeight w:val="315"/>
        </w:trPr>
        <w:tc>
          <w:tcPr>
            <w:tcW w:w="759" w:type="pct"/>
            <w:tcBorders>
              <w:top w:val="nil"/>
              <w:left w:val="nil"/>
              <w:bottom w:val="nil"/>
              <w:right w:val="nil"/>
            </w:tcBorders>
            <w:shd w:val="clear" w:color="000000" w:fill="FFFFFF"/>
            <w:noWrap/>
            <w:vAlign w:val="bottom"/>
            <w:hideMark/>
          </w:tcPr>
          <w:p w14:paraId="0DC2569F"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Tradable Balance at time t</w:t>
            </w:r>
          </w:p>
        </w:tc>
        <w:tc>
          <w:tcPr>
            <w:tcW w:w="385" w:type="pct"/>
            <w:tcBorders>
              <w:top w:val="nil"/>
              <w:left w:val="nil"/>
              <w:bottom w:val="nil"/>
              <w:right w:val="nil"/>
            </w:tcBorders>
            <w:shd w:val="clear" w:color="000000" w:fill="FFFFFF"/>
            <w:noWrap/>
            <w:vAlign w:val="bottom"/>
          </w:tcPr>
          <w:p w14:paraId="7381C622" w14:textId="286EDBE9" w:rsidR="004463E3" w:rsidRPr="008A7FD7" w:rsidRDefault="004463E3" w:rsidP="004463E3">
            <w:pPr>
              <w:spacing w:after="0" w:line="240" w:lineRule="auto"/>
              <w:rPr>
                <w:rFonts w:eastAsia="Times New Roman" w:cstheme="minorHAnsi"/>
                <w:color w:val="000000"/>
                <w:sz w:val="16"/>
                <w:szCs w:val="16"/>
              </w:rPr>
            </w:pPr>
            <w:r w:rsidRPr="008A7FD7">
              <w:rPr>
                <w:rFonts w:cstheme="minorHAnsi"/>
                <w:color w:val="000000"/>
                <w:sz w:val="16"/>
                <w:szCs w:val="16"/>
              </w:rPr>
              <w:t> </w:t>
            </w:r>
          </w:p>
        </w:tc>
        <w:tc>
          <w:tcPr>
            <w:tcW w:w="385" w:type="pct"/>
            <w:tcBorders>
              <w:top w:val="nil"/>
              <w:left w:val="nil"/>
              <w:bottom w:val="nil"/>
              <w:right w:val="nil"/>
            </w:tcBorders>
            <w:shd w:val="clear" w:color="000000" w:fill="FFFFFF"/>
            <w:noWrap/>
            <w:vAlign w:val="bottom"/>
          </w:tcPr>
          <w:p w14:paraId="549B0547" w14:textId="3FF74D7D"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89,192.0</w:t>
            </w:r>
          </w:p>
        </w:tc>
        <w:tc>
          <w:tcPr>
            <w:tcW w:w="385" w:type="pct"/>
            <w:tcBorders>
              <w:top w:val="nil"/>
              <w:left w:val="nil"/>
              <w:bottom w:val="nil"/>
              <w:right w:val="nil"/>
            </w:tcBorders>
            <w:shd w:val="clear" w:color="000000" w:fill="FFFFFF"/>
            <w:noWrap/>
            <w:vAlign w:val="bottom"/>
          </w:tcPr>
          <w:p w14:paraId="5A26699B" w14:textId="0D649811"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69,955.0</w:t>
            </w:r>
          </w:p>
        </w:tc>
        <w:tc>
          <w:tcPr>
            <w:tcW w:w="387" w:type="pct"/>
            <w:tcBorders>
              <w:top w:val="nil"/>
              <w:left w:val="nil"/>
              <w:bottom w:val="nil"/>
              <w:right w:val="nil"/>
            </w:tcBorders>
            <w:shd w:val="clear" w:color="000000" w:fill="FFFFFF"/>
            <w:noWrap/>
            <w:vAlign w:val="bottom"/>
          </w:tcPr>
          <w:p w14:paraId="0EAE3FF8" w14:textId="672A8DFA"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73,588.0</w:t>
            </w:r>
          </w:p>
        </w:tc>
        <w:tc>
          <w:tcPr>
            <w:tcW w:w="385" w:type="pct"/>
            <w:tcBorders>
              <w:top w:val="nil"/>
              <w:left w:val="nil"/>
              <w:bottom w:val="nil"/>
              <w:right w:val="nil"/>
            </w:tcBorders>
            <w:shd w:val="clear" w:color="000000" w:fill="FFFFFF"/>
            <w:noWrap/>
            <w:vAlign w:val="bottom"/>
          </w:tcPr>
          <w:p w14:paraId="4DD8CCB5" w14:textId="6695ACC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75,897.0</w:t>
            </w:r>
          </w:p>
        </w:tc>
        <w:tc>
          <w:tcPr>
            <w:tcW w:w="385" w:type="pct"/>
            <w:tcBorders>
              <w:top w:val="nil"/>
              <w:left w:val="nil"/>
              <w:bottom w:val="nil"/>
              <w:right w:val="nil"/>
            </w:tcBorders>
            <w:shd w:val="clear" w:color="000000" w:fill="FFFFFF"/>
            <w:noWrap/>
            <w:vAlign w:val="bottom"/>
          </w:tcPr>
          <w:p w14:paraId="11321DC3" w14:textId="17130D6A"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84,882.0</w:t>
            </w:r>
          </w:p>
        </w:tc>
        <w:tc>
          <w:tcPr>
            <w:tcW w:w="385" w:type="pct"/>
            <w:tcBorders>
              <w:top w:val="nil"/>
              <w:left w:val="nil"/>
              <w:bottom w:val="nil"/>
              <w:right w:val="nil"/>
            </w:tcBorders>
            <w:shd w:val="clear" w:color="000000" w:fill="FFFFFF"/>
            <w:noWrap/>
            <w:vAlign w:val="bottom"/>
          </w:tcPr>
          <w:p w14:paraId="4AAC8BCB" w14:textId="50F66649"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25,668.0</w:t>
            </w:r>
          </w:p>
        </w:tc>
        <w:tc>
          <w:tcPr>
            <w:tcW w:w="386" w:type="pct"/>
            <w:tcBorders>
              <w:top w:val="nil"/>
              <w:left w:val="nil"/>
              <w:bottom w:val="nil"/>
              <w:right w:val="nil"/>
            </w:tcBorders>
            <w:shd w:val="clear" w:color="000000" w:fill="FFFFFF"/>
            <w:noWrap/>
            <w:vAlign w:val="bottom"/>
          </w:tcPr>
          <w:p w14:paraId="587BCF4C" w14:textId="17BEE30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79,128.0</w:t>
            </w:r>
          </w:p>
        </w:tc>
        <w:tc>
          <w:tcPr>
            <w:tcW w:w="385" w:type="pct"/>
            <w:tcBorders>
              <w:top w:val="nil"/>
              <w:left w:val="nil"/>
              <w:bottom w:val="nil"/>
              <w:right w:val="nil"/>
            </w:tcBorders>
            <w:shd w:val="clear" w:color="000000" w:fill="FFFFFF"/>
            <w:noWrap/>
            <w:vAlign w:val="bottom"/>
          </w:tcPr>
          <w:p w14:paraId="20CC8DAC" w14:textId="441B1595"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80,421.0</w:t>
            </w:r>
          </w:p>
        </w:tc>
        <w:tc>
          <w:tcPr>
            <w:tcW w:w="385" w:type="pct"/>
            <w:tcBorders>
              <w:top w:val="nil"/>
              <w:left w:val="nil"/>
              <w:bottom w:val="nil"/>
              <w:right w:val="nil"/>
            </w:tcBorders>
            <w:shd w:val="clear" w:color="000000" w:fill="FFFFFF"/>
            <w:noWrap/>
            <w:vAlign w:val="bottom"/>
          </w:tcPr>
          <w:p w14:paraId="6263CB03" w14:textId="5E17D230"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82,046.0</w:t>
            </w:r>
          </w:p>
        </w:tc>
        <w:tc>
          <w:tcPr>
            <w:tcW w:w="386" w:type="pct"/>
            <w:tcBorders>
              <w:top w:val="nil"/>
              <w:left w:val="nil"/>
              <w:bottom w:val="nil"/>
              <w:right w:val="nil"/>
            </w:tcBorders>
            <w:shd w:val="clear" w:color="000000" w:fill="FFFFFF"/>
            <w:noWrap/>
            <w:vAlign w:val="bottom"/>
          </w:tcPr>
          <w:p w14:paraId="29700F87" w14:textId="52E76C34"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92,094.0</w:t>
            </w:r>
          </w:p>
        </w:tc>
      </w:tr>
      <w:tr w:rsidR="004463E3" w:rsidRPr="001B5043" w14:paraId="7DB395EA" w14:textId="77777777" w:rsidTr="008A7FD7">
        <w:trPr>
          <w:trHeight w:val="323"/>
        </w:trPr>
        <w:tc>
          <w:tcPr>
            <w:tcW w:w="759" w:type="pct"/>
            <w:tcBorders>
              <w:top w:val="single" w:sz="4" w:space="0" w:color="auto"/>
              <w:left w:val="nil"/>
              <w:bottom w:val="single" w:sz="8" w:space="0" w:color="auto"/>
              <w:right w:val="nil"/>
            </w:tcBorders>
            <w:shd w:val="clear" w:color="000000" w:fill="FFFFFF"/>
            <w:noWrap/>
            <w:vAlign w:val="bottom"/>
            <w:hideMark/>
          </w:tcPr>
          <w:p w14:paraId="51627B7E" w14:textId="77777777" w:rsidR="004463E3" w:rsidRPr="001B5043" w:rsidRDefault="004463E3" w:rsidP="004463E3">
            <w:pPr>
              <w:spacing w:after="0" w:line="240" w:lineRule="auto"/>
              <w:rPr>
                <w:rFonts w:ascii="Calibri" w:eastAsia="Times New Roman" w:hAnsi="Calibri" w:cs="Calibri"/>
                <w:color w:val="000000"/>
                <w:sz w:val="16"/>
                <w:szCs w:val="16"/>
              </w:rPr>
            </w:pPr>
            <w:r w:rsidRPr="001B5043">
              <w:rPr>
                <w:rFonts w:ascii="Calibri" w:eastAsia="Times New Roman" w:hAnsi="Calibri" w:cs="Calibri"/>
                <w:color w:val="000000"/>
                <w:sz w:val="16"/>
                <w:szCs w:val="16"/>
              </w:rPr>
              <w:t>Total Tradable Balance</w:t>
            </w:r>
          </w:p>
        </w:tc>
        <w:tc>
          <w:tcPr>
            <w:tcW w:w="385" w:type="pct"/>
            <w:tcBorders>
              <w:top w:val="single" w:sz="4" w:space="0" w:color="auto"/>
              <w:left w:val="nil"/>
              <w:bottom w:val="single" w:sz="8" w:space="0" w:color="auto"/>
              <w:right w:val="nil"/>
            </w:tcBorders>
            <w:shd w:val="clear" w:color="000000" w:fill="FFFFFF"/>
            <w:noWrap/>
            <w:vAlign w:val="bottom"/>
          </w:tcPr>
          <w:p w14:paraId="4A2870FB" w14:textId="132EEEE5"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0.0</w:t>
            </w:r>
          </w:p>
        </w:tc>
        <w:tc>
          <w:tcPr>
            <w:tcW w:w="385" w:type="pct"/>
            <w:tcBorders>
              <w:top w:val="single" w:sz="4" w:space="0" w:color="auto"/>
              <w:left w:val="nil"/>
              <w:bottom w:val="single" w:sz="8" w:space="0" w:color="auto"/>
              <w:right w:val="nil"/>
            </w:tcBorders>
            <w:shd w:val="clear" w:color="000000" w:fill="FFFFFF"/>
            <w:noWrap/>
            <w:vAlign w:val="bottom"/>
          </w:tcPr>
          <w:p w14:paraId="0C832FB8" w14:textId="0A8F7F2B"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89,192.0</w:t>
            </w:r>
          </w:p>
        </w:tc>
        <w:tc>
          <w:tcPr>
            <w:tcW w:w="385" w:type="pct"/>
            <w:tcBorders>
              <w:top w:val="single" w:sz="4" w:space="0" w:color="auto"/>
              <w:left w:val="nil"/>
              <w:bottom w:val="single" w:sz="8" w:space="0" w:color="auto"/>
              <w:right w:val="nil"/>
            </w:tcBorders>
            <w:shd w:val="clear" w:color="000000" w:fill="FFFFFF"/>
            <w:noWrap/>
            <w:vAlign w:val="bottom"/>
          </w:tcPr>
          <w:p w14:paraId="1FCA53DA" w14:textId="3E0E3C09"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159,147.0</w:t>
            </w:r>
          </w:p>
        </w:tc>
        <w:tc>
          <w:tcPr>
            <w:tcW w:w="387" w:type="pct"/>
            <w:tcBorders>
              <w:top w:val="single" w:sz="4" w:space="0" w:color="auto"/>
              <w:left w:val="nil"/>
              <w:bottom w:val="single" w:sz="8" w:space="0" w:color="auto"/>
              <w:right w:val="nil"/>
            </w:tcBorders>
            <w:shd w:val="clear" w:color="000000" w:fill="FFFFFF"/>
            <w:noWrap/>
            <w:vAlign w:val="bottom"/>
          </w:tcPr>
          <w:p w14:paraId="2FFF99E7" w14:textId="4321ED9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232,735.0</w:t>
            </w:r>
          </w:p>
        </w:tc>
        <w:tc>
          <w:tcPr>
            <w:tcW w:w="385" w:type="pct"/>
            <w:tcBorders>
              <w:top w:val="single" w:sz="4" w:space="0" w:color="auto"/>
              <w:left w:val="nil"/>
              <w:bottom w:val="single" w:sz="8" w:space="0" w:color="auto"/>
              <w:right w:val="nil"/>
            </w:tcBorders>
            <w:shd w:val="clear" w:color="000000" w:fill="FFFFFF"/>
            <w:noWrap/>
            <w:vAlign w:val="bottom"/>
          </w:tcPr>
          <w:p w14:paraId="7BC0063C" w14:textId="07A4051C"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308,632.0</w:t>
            </w:r>
          </w:p>
        </w:tc>
        <w:tc>
          <w:tcPr>
            <w:tcW w:w="385" w:type="pct"/>
            <w:tcBorders>
              <w:top w:val="single" w:sz="4" w:space="0" w:color="auto"/>
              <w:left w:val="nil"/>
              <w:bottom w:val="single" w:sz="8" w:space="0" w:color="auto"/>
              <w:right w:val="nil"/>
            </w:tcBorders>
            <w:shd w:val="clear" w:color="000000" w:fill="FFFFFF"/>
            <w:noWrap/>
            <w:vAlign w:val="bottom"/>
          </w:tcPr>
          <w:p w14:paraId="10BC2B67" w14:textId="3A64BB72"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393,514.0</w:t>
            </w:r>
          </w:p>
        </w:tc>
        <w:tc>
          <w:tcPr>
            <w:tcW w:w="385" w:type="pct"/>
            <w:tcBorders>
              <w:top w:val="single" w:sz="4" w:space="0" w:color="auto"/>
              <w:left w:val="nil"/>
              <w:bottom w:val="single" w:sz="8" w:space="0" w:color="auto"/>
              <w:right w:val="nil"/>
            </w:tcBorders>
            <w:shd w:val="clear" w:color="000000" w:fill="FFFFFF"/>
            <w:noWrap/>
            <w:vAlign w:val="bottom"/>
          </w:tcPr>
          <w:p w14:paraId="1DD9CEC9" w14:textId="4577C7B3"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419,182.0</w:t>
            </w:r>
          </w:p>
        </w:tc>
        <w:tc>
          <w:tcPr>
            <w:tcW w:w="386" w:type="pct"/>
            <w:tcBorders>
              <w:top w:val="single" w:sz="4" w:space="0" w:color="auto"/>
              <w:left w:val="nil"/>
              <w:bottom w:val="single" w:sz="8" w:space="0" w:color="auto"/>
              <w:right w:val="nil"/>
            </w:tcBorders>
            <w:shd w:val="clear" w:color="000000" w:fill="FFFFFF"/>
            <w:noWrap/>
            <w:vAlign w:val="bottom"/>
          </w:tcPr>
          <w:p w14:paraId="47DEA99E" w14:textId="1F34FC37"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498,310.0</w:t>
            </w:r>
          </w:p>
        </w:tc>
        <w:tc>
          <w:tcPr>
            <w:tcW w:w="385" w:type="pct"/>
            <w:tcBorders>
              <w:top w:val="single" w:sz="4" w:space="0" w:color="auto"/>
              <w:left w:val="nil"/>
              <w:bottom w:val="single" w:sz="8" w:space="0" w:color="auto"/>
              <w:right w:val="nil"/>
            </w:tcBorders>
            <w:shd w:val="clear" w:color="000000" w:fill="FFFFFF"/>
            <w:noWrap/>
            <w:vAlign w:val="bottom"/>
          </w:tcPr>
          <w:p w14:paraId="441DFFDE" w14:textId="4EBC89D2"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578,731.0</w:t>
            </w:r>
          </w:p>
        </w:tc>
        <w:tc>
          <w:tcPr>
            <w:tcW w:w="385" w:type="pct"/>
            <w:tcBorders>
              <w:top w:val="single" w:sz="4" w:space="0" w:color="auto"/>
              <w:left w:val="nil"/>
              <w:bottom w:val="single" w:sz="8" w:space="0" w:color="auto"/>
              <w:right w:val="nil"/>
            </w:tcBorders>
            <w:shd w:val="clear" w:color="000000" w:fill="FFFFFF"/>
            <w:noWrap/>
            <w:vAlign w:val="bottom"/>
          </w:tcPr>
          <w:p w14:paraId="4DEDCFF3" w14:textId="32000DD7"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660,777.0</w:t>
            </w:r>
          </w:p>
        </w:tc>
        <w:tc>
          <w:tcPr>
            <w:tcW w:w="386" w:type="pct"/>
            <w:tcBorders>
              <w:top w:val="single" w:sz="4" w:space="0" w:color="auto"/>
              <w:left w:val="nil"/>
              <w:bottom w:val="single" w:sz="8" w:space="0" w:color="auto"/>
              <w:right w:val="nil"/>
            </w:tcBorders>
            <w:shd w:val="clear" w:color="000000" w:fill="FFFFFF"/>
            <w:noWrap/>
            <w:vAlign w:val="bottom"/>
          </w:tcPr>
          <w:p w14:paraId="374F711F" w14:textId="471FAEB2" w:rsidR="004463E3" w:rsidRPr="008A7FD7"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752,871.0</w:t>
            </w:r>
          </w:p>
        </w:tc>
      </w:tr>
    </w:tbl>
    <w:p w14:paraId="1A93F619" w14:textId="77777777" w:rsidR="0051342B" w:rsidRDefault="0051342B" w:rsidP="007344DF">
      <w:pPr>
        <w:rPr>
          <w:b/>
        </w:rPr>
      </w:pPr>
    </w:p>
    <w:p w14:paraId="432D123E" w14:textId="67CF2FE6" w:rsidR="00443354" w:rsidRDefault="00443354" w:rsidP="007344DF">
      <w:pPr>
        <w:rPr>
          <w:b/>
        </w:rPr>
      </w:pPr>
    </w:p>
    <w:tbl>
      <w:tblPr>
        <w:tblW w:w="5000" w:type="pct"/>
        <w:tblLayout w:type="fixed"/>
        <w:tblLook w:val="04A0" w:firstRow="1" w:lastRow="0" w:firstColumn="1" w:lastColumn="0" w:noHBand="0" w:noVBand="1"/>
      </w:tblPr>
      <w:tblGrid>
        <w:gridCol w:w="2073"/>
        <w:gridCol w:w="1088"/>
        <w:gridCol w:w="1088"/>
        <w:gridCol w:w="1088"/>
        <w:gridCol w:w="1089"/>
        <w:gridCol w:w="1089"/>
        <w:gridCol w:w="1089"/>
        <w:gridCol w:w="1089"/>
        <w:gridCol w:w="1089"/>
        <w:gridCol w:w="1089"/>
        <w:gridCol w:w="1089"/>
      </w:tblGrid>
      <w:tr w:rsidR="00D96D89" w:rsidRPr="00BE1566" w14:paraId="52B93A78" w14:textId="77777777" w:rsidTr="00D96D89">
        <w:trPr>
          <w:trHeight w:val="293"/>
        </w:trPr>
        <w:tc>
          <w:tcPr>
            <w:tcW w:w="800" w:type="pct"/>
            <w:tcBorders>
              <w:top w:val="single" w:sz="4" w:space="0" w:color="auto"/>
              <w:left w:val="nil"/>
              <w:bottom w:val="double" w:sz="6" w:space="0" w:color="auto"/>
              <w:right w:val="nil"/>
            </w:tcBorders>
            <w:shd w:val="clear" w:color="000000" w:fill="FFFFFF"/>
            <w:noWrap/>
            <w:vAlign w:val="bottom"/>
            <w:hideMark/>
          </w:tcPr>
          <w:p w14:paraId="0B99A2AE" w14:textId="77777777" w:rsidR="008E1FC2" w:rsidRPr="00BE1566" w:rsidRDefault="008E1FC2" w:rsidP="008E1FC2">
            <w:pPr>
              <w:spacing w:after="0" w:line="240" w:lineRule="auto"/>
              <w:rPr>
                <w:rFonts w:ascii="Calibri" w:eastAsia="Times New Roman" w:hAnsi="Calibri" w:cs="Calibri"/>
                <w:b/>
                <w:bCs/>
                <w:color w:val="000000"/>
                <w:sz w:val="16"/>
                <w:szCs w:val="16"/>
              </w:rPr>
            </w:pPr>
            <w:r w:rsidRPr="00BE1566">
              <w:rPr>
                <w:rFonts w:ascii="Calibri" w:eastAsia="Times New Roman" w:hAnsi="Calibri" w:cs="Calibri"/>
                <w:b/>
                <w:bCs/>
                <w:color w:val="000000"/>
                <w:sz w:val="16"/>
                <w:szCs w:val="16"/>
              </w:rPr>
              <w:t>ACR Account Year</w:t>
            </w:r>
          </w:p>
        </w:tc>
        <w:tc>
          <w:tcPr>
            <w:tcW w:w="420" w:type="pct"/>
            <w:tcBorders>
              <w:top w:val="single" w:sz="4" w:space="0" w:color="auto"/>
              <w:left w:val="nil"/>
              <w:bottom w:val="double" w:sz="6" w:space="0" w:color="auto"/>
              <w:right w:val="nil"/>
            </w:tcBorders>
            <w:shd w:val="clear" w:color="000000" w:fill="FFFFFF"/>
            <w:noWrap/>
            <w:vAlign w:val="bottom"/>
          </w:tcPr>
          <w:p w14:paraId="2F0E6C34" w14:textId="60AC9586"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11</w:t>
            </w:r>
          </w:p>
        </w:tc>
        <w:tc>
          <w:tcPr>
            <w:tcW w:w="420" w:type="pct"/>
            <w:tcBorders>
              <w:top w:val="single" w:sz="4" w:space="0" w:color="auto"/>
              <w:left w:val="nil"/>
              <w:bottom w:val="double" w:sz="6" w:space="0" w:color="auto"/>
              <w:right w:val="nil"/>
            </w:tcBorders>
            <w:shd w:val="clear" w:color="000000" w:fill="FFFFFF"/>
            <w:noWrap/>
            <w:vAlign w:val="bottom"/>
          </w:tcPr>
          <w:p w14:paraId="5759D15E" w14:textId="57F10F98"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12</w:t>
            </w:r>
          </w:p>
        </w:tc>
        <w:tc>
          <w:tcPr>
            <w:tcW w:w="420" w:type="pct"/>
            <w:tcBorders>
              <w:top w:val="single" w:sz="4" w:space="0" w:color="auto"/>
              <w:left w:val="nil"/>
              <w:bottom w:val="double" w:sz="6" w:space="0" w:color="auto"/>
              <w:right w:val="nil"/>
            </w:tcBorders>
            <w:shd w:val="clear" w:color="000000" w:fill="FFFFFF"/>
            <w:noWrap/>
            <w:vAlign w:val="bottom"/>
          </w:tcPr>
          <w:p w14:paraId="2BC1F21E" w14:textId="55F012DC"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13</w:t>
            </w:r>
          </w:p>
        </w:tc>
        <w:tc>
          <w:tcPr>
            <w:tcW w:w="420" w:type="pct"/>
            <w:tcBorders>
              <w:top w:val="single" w:sz="4" w:space="0" w:color="auto"/>
              <w:left w:val="nil"/>
              <w:bottom w:val="double" w:sz="6" w:space="0" w:color="auto"/>
              <w:right w:val="nil"/>
            </w:tcBorders>
            <w:shd w:val="clear" w:color="000000" w:fill="FFFFFF"/>
            <w:noWrap/>
            <w:vAlign w:val="bottom"/>
          </w:tcPr>
          <w:p w14:paraId="4A72431D" w14:textId="76105730"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14</w:t>
            </w:r>
          </w:p>
        </w:tc>
        <w:tc>
          <w:tcPr>
            <w:tcW w:w="420" w:type="pct"/>
            <w:tcBorders>
              <w:top w:val="single" w:sz="4" w:space="0" w:color="auto"/>
              <w:left w:val="nil"/>
              <w:bottom w:val="double" w:sz="6" w:space="0" w:color="auto"/>
              <w:right w:val="nil"/>
            </w:tcBorders>
            <w:shd w:val="clear" w:color="000000" w:fill="FFFFFF"/>
            <w:noWrap/>
            <w:vAlign w:val="bottom"/>
          </w:tcPr>
          <w:p w14:paraId="1C857DB0" w14:textId="6BEDC166"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15</w:t>
            </w:r>
          </w:p>
        </w:tc>
        <w:tc>
          <w:tcPr>
            <w:tcW w:w="420" w:type="pct"/>
            <w:tcBorders>
              <w:top w:val="single" w:sz="4" w:space="0" w:color="auto"/>
              <w:left w:val="nil"/>
              <w:bottom w:val="double" w:sz="6" w:space="0" w:color="auto"/>
              <w:right w:val="nil"/>
            </w:tcBorders>
            <w:shd w:val="clear" w:color="000000" w:fill="FFFFFF"/>
            <w:noWrap/>
            <w:vAlign w:val="bottom"/>
          </w:tcPr>
          <w:p w14:paraId="48338DB9" w14:textId="1B2154BA"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16</w:t>
            </w:r>
          </w:p>
        </w:tc>
        <w:tc>
          <w:tcPr>
            <w:tcW w:w="420" w:type="pct"/>
            <w:tcBorders>
              <w:top w:val="single" w:sz="4" w:space="0" w:color="auto"/>
              <w:left w:val="nil"/>
              <w:bottom w:val="double" w:sz="6" w:space="0" w:color="auto"/>
              <w:right w:val="nil"/>
            </w:tcBorders>
            <w:shd w:val="clear" w:color="000000" w:fill="FFFFFF"/>
            <w:noWrap/>
            <w:vAlign w:val="bottom"/>
          </w:tcPr>
          <w:p w14:paraId="7CD0C24D" w14:textId="68BC21FC"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17</w:t>
            </w:r>
          </w:p>
        </w:tc>
        <w:tc>
          <w:tcPr>
            <w:tcW w:w="420" w:type="pct"/>
            <w:tcBorders>
              <w:top w:val="single" w:sz="4" w:space="0" w:color="auto"/>
              <w:left w:val="nil"/>
              <w:bottom w:val="double" w:sz="6" w:space="0" w:color="auto"/>
              <w:right w:val="nil"/>
            </w:tcBorders>
            <w:shd w:val="clear" w:color="000000" w:fill="FFFFFF"/>
            <w:noWrap/>
            <w:vAlign w:val="bottom"/>
          </w:tcPr>
          <w:p w14:paraId="6FBB0AD7" w14:textId="1470A627"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18</w:t>
            </w:r>
          </w:p>
        </w:tc>
        <w:tc>
          <w:tcPr>
            <w:tcW w:w="420" w:type="pct"/>
            <w:tcBorders>
              <w:top w:val="single" w:sz="4" w:space="0" w:color="auto"/>
              <w:left w:val="nil"/>
              <w:bottom w:val="double" w:sz="6" w:space="0" w:color="auto"/>
              <w:right w:val="nil"/>
            </w:tcBorders>
            <w:shd w:val="clear" w:color="000000" w:fill="FFFFFF"/>
            <w:noWrap/>
            <w:vAlign w:val="bottom"/>
          </w:tcPr>
          <w:p w14:paraId="759BD882" w14:textId="40A2E555"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19</w:t>
            </w:r>
          </w:p>
        </w:tc>
        <w:tc>
          <w:tcPr>
            <w:tcW w:w="420" w:type="pct"/>
            <w:tcBorders>
              <w:top w:val="single" w:sz="4" w:space="0" w:color="auto"/>
              <w:left w:val="nil"/>
              <w:bottom w:val="double" w:sz="6" w:space="0" w:color="auto"/>
              <w:right w:val="nil"/>
            </w:tcBorders>
            <w:shd w:val="clear" w:color="000000" w:fill="FFFFFF"/>
            <w:noWrap/>
            <w:vAlign w:val="bottom"/>
          </w:tcPr>
          <w:p w14:paraId="76CDDD8C" w14:textId="4444CC70"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20</w:t>
            </w:r>
          </w:p>
        </w:tc>
      </w:tr>
      <w:tr w:rsidR="00D96D89" w:rsidRPr="00BE1566" w14:paraId="724DC314" w14:textId="77777777" w:rsidTr="00D96D89">
        <w:trPr>
          <w:trHeight w:val="300"/>
        </w:trPr>
        <w:tc>
          <w:tcPr>
            <w:tcW w:w="800" w:type="pct"/>
            <w:tcBorders>
              <w:top w:val="single" w:sz="4" w:space="0" w:color="auto"/>
              <w:left w:val="nil"/>
              <w:bottom w:val="double" w:sz="6" w:space="0" w:color="auto"/>
              <w:right w:val="nil"/>
            </w:tcBorders>
            <w:shd w:val="clear" w:color="000000" w:fill="FFFFFF"/>
            <w:noWrap/>
            <w:vAlign w:val="bottom"/>
            <w:hideMark/>
          </w:tcPr>
          <w:p w14:paraId="2704FC1D" w14:textId="77777777" w:rsidR="008E1FC2" w:rsidRPr="00BE1566" w:rsidRDefault="008E1FC2" w:rsidP="008E1FC2">
            <w:pPr>
              <w:spacing w:after="0" w:line="240" w:lineRule="auto"/>
              <w:rPr>
                <w:rFonts w:ascii="Calibri" w:eastAsia="Times New Roman" w:hAnsi="Calibri" w:cs="Calibri"/>
                <w:b/>
                <w:bCs/>
                <w:color w:val="000000"/>
                <w:sz w:val="16"/>
                <w:szCs w:val="16"/>
              </w:rPr>
            </w:pPr>
            <w:r w:rsidRPr="00BE1566">
              <w:rPr>
                <w:rFonts w:ascii="Calibri" w:eastAsia="Times New Roman" w:hAnsi="Calibri" w:cs="Calibri"/>
                <w:b/>
                <w:bCs/>
                <w:color w:val="000000"/>
                <w:sz w:val="16"/>
                <w:szCs w:val="16"/>
              </w:rPr>
              <w:t>project year (stocks at beginning)</w:t>
            </w:r>
          </w:p>
        </w:tc>
        <w:tc>
          <w:tcPr>
            <w:tcW w:w="420" w:type="pct"/>
            <w:tcBorders>
              <w:top w:val="single" w:sz="4" w:space="0" w:color="auto"/>
              <w:left w:val="nil"/>
              <w:bottom w:val="double" w:sz="6" w:space="0" w:color="auto"/>
              <w:right w:val="nil"/>
            </w:tcBorders>
            <w:shd w:val="clear" w:color="000000" w:fill="FFFFFF"/>
            <w:noWrap/>
            <w:vAlign w:val="bottom"/>
          </w:tcPr>
          <w:p w14:paraId="278CDE25" w14:textId="1E63C75F"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2031</w:t>
            </w:r>
          </w:p>
        </w:tc>
        <w:tc>
          <w:tcPr>
            <w:tcW w:w="420" w:type="pct"/>
            <w:tcBorders>
              <w:top w:val="single" w:sz="4" w:space="0" w:color="auto"/>
              <w:left w:val="nil"/>
              <w:bottom w:val="double" w:sz="6" w:space="0" w:color="auto"/>
              <w:right w:val="nil"/>
            </w:tcBorders>
            <w:shd w:val="clear" w:color="000000" w:fill="FFFFFF"/>
            <w:noWrap/>
            <w:vAlign w:val="bottom"/>
          </w:tcPr>
          <w:p w14:paraId="6232E66A" w14:textId="74E44374"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2032</w:t>
            </w:r>
          </w:p>
        </w:tc>
        <w:tc>
          <w:tcPr>
            <w:tcW w:w="420" w:type="pct"/>
            <w:tcBorders>
              <w:top w:val="single" w:sz="4" w:space="0" w:color="auto"/>
              <w:left w:val="nil"/>
              <w:bottom w:val="double" w:sz="6" w:space="0" w:color="auto"/>
              <w:right w:val="nil"/>
            </w:tcBorders>
            <w:shd w:val="clear" w:color="000000" w:fill="FFFFFF"/>
            <w:noWrap/>
            <w:vAlign w:val="bottom"/>
          </w:tcPr>
          <w:p w14:paraId="55BE5A75" w14:textId="73FC9EF7"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2033</w:t>
            </w:r>
          </w:p>
        </w:tc>
        <w:tc>
          <w:tcPr>
            <w:tcW w:w="420" w:type="pct"/>
            <w:tcBorders>
              <w:top w:val="single" w:sz="4" w:space="0" w:color="auto"/>
              <w:left w:val="nil"/>
              <w:bottom w:val="double" w:sz="6" w:space="0" w:color="auto"/>
              <w:right w:val="nil"/>
            </w:tcBorders>
            <w:shd w:val="clear" w:color="000000" w:fill="FFFFFF"/>
            <w:noWrap/>
            <w:vAlign w:val="bottom"/>
          </w:tcPr>
          <w:p w14:paraId="02A10E34" w14:textId="3D6B643D"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2034</w:t>
            </w:r>
          </w:p>
        </w:tc>
        <w:tc>
          <w:tcPr>
            <w:tcW w:w="420" w:type="pct"/>
            <w:tcBorders>
              <w:top w:val="single" w:sz="4" w:space="0" w:color="auto"/>
              <w:left w:val="nil"/>
              <w:bottom w:val="double" w:sz="6" w:space="0" w:color="auto"/>
              <w:right w:val="nil"/>
            </w:tcBorders>
            <w:shd w:val="clear" w:color="000000" w:fill="FFFFFF"/>
            <w:noWrap/>
            <w:vAlign w:val="bottom"/>
          </w:tcPr>
          <w:p w14:paraId="77AA903E" w14:textId="5BF15166"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2035</w:t>
            </w:r>
          </w:p>
        </w:tc>
        <w:tc>
          <w:tcPr>
            <w:tcW w:w="420" w:type="pct"/>
            <w:tcBorders>
              <w:top w:val="single" w:sz="4" w:space="0" w:color="auto"/>
              <w:left w:val="nil"/>
              <w:bottom w:val="double" w:sz="6" w:space="0" w:color="auto"/>
              <w:right w:val="nil"/>
            </w:tcBorders>
            <w:shd w:val="clear" w:color="000000" w:fill="FFFFFF"/>
            <w:noWrap/>
            <w:vAlign w:val="bottom"/>
          </w:tcPr>
          <w:p w14:paraId="656C92EF" w14:textId="53CC9CB5"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2036</w:t>
            </w:r>
          </w:p>
        </w:tc>
        <w:tc>
          <w:tcPr>
            <w:tcW w:w="420" w:type="pct"/>
            <w:tcBorders>
              <w:top w:val="single" w:sz="4" w:space="0" w:color="auto"/>
              <w:left w:val="nil"/>
              <w:bottom w:val="double" w:sz="6" w:space="0" w:color="auto"/>
              <w:right w:val="nil"/>
            </w:tcBorders>
            <w:shd w:val="clear" w:color="000000" w:fill="FFFFFF"/>
            <w:noWrap/>
            <w:vAlign w:val="bottom"/>
          </w:tcPr>
          <w:p w14:paraId="114DC7B3" w14:textId="6BA49FBF"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2037</w:t>
            </w:r>
          </w:p>
        </w:tc>
        <w:tc>
          <w:tcPr>
            <w:tcW w:w="420" w:type="pct"/>
            <w:tcBorders>
              <w:top w:val="single" w:sz="4" w:space="0" w:color="auto"/>
              <w:left w:val="nil"/>
              <w:bottom w:val="double" w:sz="6" w:space="0" w:color="auto"/>
              <w:right w:val="nil"/>
            </w:tcBorders>
            <w:shd w:val="clear" w:color="000000" w:fill="FFFFFF"/>
            <w:noWrap/>
            <w:vAlign w:val="bottom"/>
          </w:tcPr>
          <w:p w14:paraId="6FF2CE94" w14:textId="259153FB"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2038</w:t>
            </w:r>
          </w:p>
        </w:tc>
        <w:tc>
          <w:tcPr>
            <w:tcW w:w="420" w:type="pct"/>
            <w:tcBorders>
              <w:top w:val="single" w:sz="4" w:space="0" w:color="auto"/>
              <w:left w:val="nil"/>
              <w:bottom w:val="double" w:sz="6" w:space="0" w:color="auto"/>
              <w:right w:val="nil"/>
            </w:tcBorders>
            <w:shd w:val="clear" w:color="000000" w:fill="FFFFFF"/>
            <w:noWrap/>
            <w:vAlign w:val="bottom"/>
          </w:tcPr>
          <w:p w14:paraId="50EBF894" w14:textId="534F85BF"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2039</w:t>
            </w:r>
          </w:p>
        </w:tc>
        <w:tc>
          <w:tcPr>
            <w:tcW w:w="420" w:type="pct"/>
            <w:tcBorders>
              <w:top w:val="single" w:sz="4" w:space="0" w:color="auto"/>
              <w:left w:val="nil"/>
              <w:bottom w:val="double" w:sz="6" w:space="0" w:color="auto"/>
              <w:right w:val="nil"/>
            </w:tcBorders>
            <w:shd w:val="clear" w:color="000000" w:fill="FFFFFF"/>
            <w:noWrap/>
            <w:vAlign w:val="bottom"/>
          </w:tcPr>
          <w:p w14:paraId="07AC2680" w14:textId="2CCAC7C1"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2040</w:t>
            </w:r>
          </w:p>
        </w:tc>
      </w:tr>
      <w:tr w:rsidR="00D96D89" w:rsidRPr="00BE1566" w14:paraId="3833003A" w14:textId="77777777" w:rsidTr="00D96D89">
        <w:trPr>
          <w:trHeight w:val="300"/>
        </w:trPr>
        <w:tc>
          <w:tcPr>
            <w:tcW w:w="800" w:type="pct"/>
            <w:tcBorders>
              <w:top w:val="single" w:sz="4" w:space="0" w:color="auto"/>
              <w:left w:val="nil"/>
              <w:bottom w:val="double" w:sz="6" w:space="0" w:color="auto"/>
              <w:right w:val="nil"/>
            </w:tcBorders>
            <w:shd w:val="clear" w:color="000000" w:fill="FFFFFF"/>
            <w:noWrap/>
            <w:vAlign w:val="bottom"/>
            <w:hideMark/>
          </w:tcPr>
          <w:p w14:paraId="2C41DA84" w14:textId="77777777" w:rsidR="008E1FC2" w:rsidRPr="00BE1566" w:rsidRDefault="008E1FC2" w:rsidP="008E1FC2">
            <w:pPr>
              <w:spacing w:after="0" w:line="240" w:lineRule="auto"/>
              <w:rPr>
                <w:rFonts w:ascii="Calibri" w:eastAsia="Times New Roman" w:hAnsi="Calibri" w:cs="Calibri"/>
                <w:b/>
                <w:bCs/>
                <w:color w:val="000000"/>
                <w:sz w:val="16"/>
                <w:szCs w:val="16"/>
              </w:rPr>
            </w:pPr>
            <w:r w:rsidRPr="00BE1566">
              <w:rPr>
                <w:rFonts w:ascii="Calibri" w:eastAsia="Times New Roman" w:hAnsi="Calibri" w:cs="Calibri"/>
                <w:b/>
                <w:bCs/>
                <w:color w:val="000000"/>
                <w:sz w:val="16"/>
                <w:szCs w:val="16"/>
              </w:rPr>
              <w:t>ACR Account Year Date</w:t>
            </w:r>
          </w:p>
        </w:tc>
        <w:tc>
          <w:tcPr>
            <w:tcW w:w="420" w:type="pct"/>
            <w:tcBorders>
              <w:top w:val="single" w:sz="4" w:space="0" w:color="auto"/>
              <w:left w:val="nil"/>
              <w:bottom w:val="double" w:sz="6" w:space="0" w:color="auto"/>
              <w:right w:val="nil"/>
            </w:tcBorders>
            <w:shd w:val="clear" w:color="000000" w:fill="FFFFFF"/>
            <w:noWrap/>
            <w:vAlign w:val="bottom"/>
          </w:tcPr>
          <w:p w14:paraId="180CA17E" w14:textId="7A5E0902" w:rsidR="008E1FC2" w:rsidRPr="008E1FC2" w:rsidRDefault="008E1FC2" w:rsidP="008E1FC2">
            <w:pPr>
              <w:spacing w:after="0" w:line="240" w:lineRule="auto"/>
              <w:jc w:val="right"/>
              <w:rPr>
                <w:rFonts w:ascii="Calibri" w:eastAsia="Times New Roman" w:hAnsi="Calibri" w:cs="Calibri"/>
                <w:b/>
                <w:bCs/>
                <w:color w:val="000000"/>
                <w:sz w:val="16"/>
                <w:szCs w:val="16"/>
              </w:rPr>
            </w:pPr>
            <w:r w:rsidRPr="008E1FC2">
              <w:rPr>
                <w:rFonts w:ascii="Calibri" w:hAnsi="Calibri" w:cs="Calibri"/>
                <w:b/>
                <w:bCs/>
                <w:color w:val="000000"/>
                <w:sz w:val="16"/>
                <w:szCs w:val="16"/>
              </w:rPr>
              <w:t>2030</w:t>
            </w:r>
          </w:p>
        </w:tc>
        <w:tc>
          <w:tcPr>
            <w:tcW w:w="420" w:type="pct"/>
            <w:tcBorders>
              <w:top w:val="single" w:sz="4" w:space="0" w:color="auto"/>
              <w:left w:val="nil"/>
              <w:bottom w:val="double" w:sz="6" w:space="0" w:color="auto"/>
              <w:right w:val="nil"/>
            </w:tcBorders>
            <w:shd w:val="clear" w:color="000000" w:fill="FFFFFF"/>
            <w:noWrap/>
            <w:vAlign w:val="bottom"/>
          </w:tcPr>
          <w:p w14:paraId="379C0C7B" w14:textId="048C8006" w:rsidR="008E1FC2" w:rsidRPr="008E1FC2" w:rsidRDefault="008E1FC2" w:rsidP="008E1FC2">
            <w:pPr>
              <w:spacing w:after="0" w:line="240" w:lineRule="auto"/>
              <w:jc w:val="right"/>
              <w:rPr>
                <w:rFonts w:ascii="Calibri" w:eastAsia="Times New Roman" w:hAnsi="Calibri" w:cs="Calibri"/>
                <w:b/>
                <w:bCs/>
                <w:color w:val="000000"/>
                <w:sz w:val="16"/>
                <w:szCs w:val="16"/>
              </w:rPr>
            </w:pPr>
            <w:r w:rsidRPr="008E1FC2">
              <w:rPr>
                <w:rFonts w:ascii="Calibri" w:hAnsi="Calibri" w:cs="Calibri"/>
                <w:b/>
                <w:bCs/>
                <w:color w:val="000000"/>
                <w:sz w:val="16"/>
                <w:szCs w:val="16"/>
              </w:rPr>
              <w:t>2031</w:t>
            </w:r>
          </w:p>
        </w:tc>
        <w:tc>
          <w:tcPr>
            <w:tcW w:w="420" w:type="pct"/>
            <w:tcBorders>
              <w:top w:val="single" w:sz="4" w:space="0" w:color="auto"/>
              <w:left w:val="nil"/>
              <w:bottom w:val="double" w:sz="6" w:space="0" w:color="auto"/>
              <w:right w:val="nil"/>
            </w:tcBorders>
            <w:shd w:val="clear" w:color="000000" w:fill="FFFFFF"/>
            <w:noWrap/>
            <w:vAlign w:val="bottom"/>
          </w:tcPr>
          <w:p w14:paraId="78979CE0" w14:textId="1D18280B" w:rsidR="008E1FC2" w:rsidRPr="008E1FC2" w:rsidRDefault="008E1FC2" w:rsidP="008E1FC2">
            <w:pPr>
              <w:spacing w:after="0" w:line="240" w:lineRule="auto"/>
              <w:jc w:val="right"/>
              <w:rPr>
                <w:rFonts w:ascii="Calibri" w:eastAsia="Times New Roman" w:hAnsi="Calibri" w:cs="Calibri"/>
                <w:b/>
                <w:bCs/>
                <w:color w:val="000000"/>
                <w:sz w:val="16"/>
                <w:szCs w:val="16"/>
              </w:rPr>
            </w:pPr>
            <w:r w:rsidRPr="008E1FC2">
              <w:rPr>
                <w:rFonts w:ascii="Calibri" w:hAnsi="Calibri" w:cs="Calibri"/>
                <w:b/>
                <w:bCs/>
                <w:color w:val="000000"/>
                <w:sz w:val="16"/>
                <w:szCs w:val="16"/>
              </w:rPr>
              <w:t>2032</w:t>
            </w:r>
          </w:p>
        </w:tc>
        <w:tc>
          <w:tcPr>
            <w:tcW w:w="420" w:type="pct"/>
            <w:tcBorders>
              <w:top w:val="single" w:sz="4" w:space="0" w:color="auto"/>
              <w:left w:val="nil"/>
              <w:bottom w:val="double" w:sz="6" w:space="0" w:color="auto"/>
              <w:right w:val="nil"/>
            </w:tcBorders>
            <w:shd w:val="clear" w:color="000000" w:fill="FFFFFF"/>
            <w:noWrap/>
            <w:vAlign w:val="bottom"/>
          </w:tcPr>
          <w:p w14:paraId="6B6A478A" w14:textId="42C4FADF" w:rsidR="008E1FC2" w:rsidRPr="008E1FC2" w:rsidRDefault="008E1FC2" w:rsidP="008E1FC2">
            <w:pPr>
              <w:spacing w:after="0" w:line="240" w:lineRule="auto"/>
              <w:jc w:val="right"/>
              <w:rPr>
                <w:rFonts w:ascii="Calibri" w:eastAsia="Times New Roman" w:hAnsi="Calibri" w:cs="Calibri"/>
                <w:b/>
                <w:bCs/>
                <w:color w:val="000000"/>
                <w:sz w:val="16"/>
                <w:szCs w:val="16"/>
              </w:rPr>
            </w:pPr>
            <w:r w:rsidRPr="008E1FC2">
              <w:rPr>
                <w:rFonts w:ascii="Calibri" w:hAnsi="Calibri" w:cs="Calibri"/>
                <w:b/>
                <w:bCs/>
                <w:color w:val="000000"/>
                <w:sz w:val="16"/>
                <w:szCs w:val="16"/>
              </w:rPr>
              <w:t>2033</w:t>
            </w:r>
          </w:p>
        </w:tc>
        <w:tc>
          <w:tcPr>
            <w:tcW w:w="420" w:type="pct"/>
            <w:tcBorders>
              <w:top w:val="single" w:sz="4" w:space="0" w:color="auto"/>
              <w:left w:val="nil"/>
              <w:bottom w:val="double" w:sz="6" w:space="0" w:color="auto"/>
              <w:right w:val="nil"/>
            </w:tcBorders>
            <w:shd w:val="clear" w:color="000000" w:fill="FFFFFF"/>
            <w:noWrap/>
            <w:vAlign w:val="bottom"/>
          </w:tcPr>
          <w:p w14:paraId="6747773C" w14:textId="19D924CA" w:rsidR="008E1FC2" w:rsidRPr="008E1FC2" w:rsidRDefault="008E1FC2" w:rsidP="008E1FC2">
            <w:pPr>
              <w:spacing w:after="0" w:line="240" w:lineRule="auto"/>
              <w:jc w:val="right"/>
              <w:rPr>
                <w:rFonts w:ascii="Calibri" w:eastAsia="Times New Roman" w:hAnsi="Calibri" w:cs="Calibri"/>
                <w:b/>
                <w:bCs/>
                <w:color w:val="000000"/>
                <w:sz w:val="16"/>
                <w:szCs w:val="16"/>
              </w:rPr>
            </w:pPr>
            <w:r w:rsidRPr="008E1FC2">
              <w:rPr>
                <w:rFonts w:ascii="Calibri" w:hAnsi="Calibri" w:cs="Calibri"/>
                <w:b/>
                <w:bCs/>
                <w:color w:val="000000"/>
                <w:sz w:val="16"/>
                <w:szCs w:val="16"/>
              </w:rPr>
              <w:t>2034</w:t>
            </w:r>
          </w:p>
        </w:tc>
        <w:tc>
          <w:tcPr>
            <w:tcW w:w="420" w:type="pct"/>
            <w:tcBorders>
              <w:top w:val="single" w:sz="4" w:space="0" w:color="auto"/>
              <w:left w:val="nil"/>
              <w:bottom w:val="double" w:sz="6" w:space="0" w:color="auto"/>
              <w:right w:val="nil"/>
            </w:tcBorders>
            <w:shd w:val="clear" w:color="000000" w:fill="FFFFFF"/>
            <w:noWrap/>
            <w:vAlign w:val="bottom"/>
          </w:tcPr>
          <w:p w14:paraId="3BB62D9C" w14:textId="3A6522D0" w:rsidR="008E1FC2" w:rsidRPr="008E1FC2" w:rsidRDefault="008E1FC2" w:rsidP="008E1FC2">
            <w:pPr>
              <w:spacing w:after="0" w:line="240" w:lineRule="auto"/>
              <w:jc w:val="right"/>
              <w:rPr>
                <w:rFonts w:ascii="Calibri" w:eastAsia="Times New Roman" w:hAnsi="Calibri" w:cs="Calibri"/>
                <w:b/>
                <w:bCs/>
                <w:color w:val="000000"/>
                <w:sz w:val="16"/>
                <w:szCs w:val="16"/>
              </w:rPr>
            </w:pPr>
            <w:r w:rsidRPr="008E1FC2">
              <w:rPr>
                <w:rFonts w:ascii="Calibri" w:hAnsi="Calibri" w:cs="Calibri"/>
                <w:b/>
                <w:bCs/>
                <w:color w:val="000000"/>
                <w:sz w:val="16"/>
                <w:szCs w:val="16"/>
              </w:rPr>
              <w:t>2035</w:t>
            </w:r>
          </w:p>
        </w:tc>
        <w:tc>
          <w:tcPr>
            <w:tcW w:w="420" w:type="pct"/>
            <w:tcBorders>
              <w:top w:val="single" w:sz="4" w:space="0" w:color="auto"/>
              <w:left w:val="nil"/>
              <w:bottom w:val="double" w:sz="6" w:space="0" w:color="auto"/>
              <w:right w:val="nil"/>
            </w:tcBorders>
            <w:shd w:val="clear" w:color="000000" w:fill="FFFFFF"/>
            <w:noWrap/>
            <w:vAlign w:val="bottom"/>
          </w:tcPr>
          <w:p w14:paraId="57009A54" w14:textId="54F55FB3" w:rsidR="008E1FC2" w:rsidRPr="008E1FC2" w:rsidRDefault="008E1FC2" w:rsidP="008E1FC2">
            <w:pPr>
              <w:spacing w:after="0" w:line="240" w:lineRule="auto"/>
              <w:jc w:val="right"/>
              <w:rPr>
                <w:rFonts w:ascii="Calibri" w:eastAsia="Times New Roman" w:hAnsi="Calibri" w:cs="Calibri"/>
                <w:b/>
                <w:bCs/>
                <w:color w:val="000000"/>
                <w:sz w:val="16"/>
                <w:szCs w:val="16"/>
              </w:rPr>
            </w:pPr>
            <w:r w:rsidRPr="008E1FC2">
              <w:rPr>
                <w:rFonts w:ascii="Calibri" w:hAnsi="Calibri" w:cs="Calibri"/>
                <w:b/>
                <w:bCs/>
                <w:color w:val="000000"/>
                <w:sz w:val="16"/>
                <w:szCs w:val="16"/>
              </w:rPr>
              <w:t>2036</w:t>
            </w:r>
          </w:p>
        </w:tc>
        <w:tc>
          <w:tcPr>
            <w:tcW w:w="420" w:type="pct"/>
            <w:tcBorders>
              <w:top w:val="single" w:sz="4" w:space="0" w:color="auto"/>
              <w:left w:val="nil"/>
              <w:bottom w:val="double" w:sz="6" w:space="0" w:color="auto"/>
              <w:right w:val="nil"/>
            </w:tcBorders>
            <w:shd w:val="clear" w:color="000000" w:fill="FFFFFF"/>
            <w:noWrap/>
            <w:vAlign w:val="bottom"/>
          </w:tcPr>
          <w:p w14:paraId="4D2D6E7E" w14:textId="64654392" w:rsidR="008E1FC2" w:rsidRPr="008E1FC2" w:rsidRDefault="008E1FC2" w:rsidP="008E1FC2">
            <w:pPr>
              <w:spacing w:after="0" w:line="240" w:lineRule="auto"/>
              <w:jc w:val="right"/>
              <w:rPr>
                <w:rFonts w:ascii="Calibri" w:eastAsia="Times New Roman" w:hAnsi="Calibri" w:cs="Calibri"/>
                <w:b/>
                <w:bCs/>
                <w:color w:val="000000"/>
                <w:sz w:val="16"/>
                <w:szCs w:val="16"/>
              </w:rPr>
            </w:pPr>
            <w:r w:rsidRPr="008E1FC2">
              <w:rPr>
                <w:rFonts w:ascii="Calibri" w:hAnsi="Calibri" w:cs="Calibri"/>
                <w:b/>
                <w:bCs/>
                <w:color w:val="000000"/>
                <w:sz w:val="16"/>
                <w:szCs w:val="16"/>
              </w:rPr>
              <w:t>2037</w:t>
            </w:r>
          </w:p>
        </w:tc>
        <w:tc>
          <w:tcPr>
            <w:tcW w:w="420" w:type="pct"/>
            <w:tcBorders>
              <w:top w:val="single" w:sz="4" w:space="0" w:color="auto"/>
              <w:left w:val="nil"/>
              <w:bottom w:val="double" w:sz="6" w:space="0" w:color="auto"/>
              <w:right w:val="nil"/>
            </w:tcBorders>
            <w:shd w:val="clear" w:color="000000" w:fill="FFFFFF"/>
            <w:noWrap/>
            <w:vAlign w:val="bottom"/>
          </w:tcPr>
          <w:p w14:paraId="62F4B9C7" w14:textId="1BDE274F" w:rsidR="008E1FC2" w:rsidRPr="008E1FC2" w:rsidRDefault="008E1FC2" w:rsidP="008E1FC2">
            <w:pPr>
              <w:spacing w:after="0" w:line="240" w:lineRule="auto"/>
              <w:jc w:val="right"/>
              <w:rPr>
                <w:rFonts w:ascii="Calibri" w:eastAsia="Times New Roman" w:hAnsi="Calibri" w:cs="Calibri"/>
                <w:b/>
                <w:bCs/>
                <w:color w:val="000000"/>
                <w:sz w:val="16"/>
                <w:szCs w:val="16"/>
              </w:rPr>
            </w:pPr>
            <w:r w:rsidRPr="008E1FC2">
              <w:rPr>
                <w:rFonts w:ascii="Calibri" w:hAnsi="Calibri" w:cs="Calibri"/>
                <w:b/>
                <w:bCs/>
                <w:color w:val="000000"/>
                <w:sz w:val="16"/>
                <w:szCs w:val="16"/>
              </w:rPr>
              <w:t>2038</w:t>
            </w:r>
          </w:p>
        </w:tc>
        <w:tc>
          <w:tcPr>
            <w:tcW w:w="420" w:type="pct"/>
            <w:tcBorders>
              <w:top w:val="single" w:sz="4" w:space="0" w:color="auto"/>
              <w:left w:val="nil"/>
              <w:bottom w:val="double" w:sz="6" w:space="0" w:color="auto"/>
              <w:right w:val="nil"/>
            </w:tcBorders>
            <w:shd w:val="clear" w:color="000000" w:fill="FFFFFF"/>
            <w:noWrap/>
            <w:vAlign w:val="bottom"/>
          </w:tcPr>
          <w:p w14:paraId="6187F79C" w14:textId="3496D16D" w:rsidR="008E1FC2" w:rsidRPr="008E1FC2" w:rsidRDefault="008E1FC2" w:rsidP="008E1FC2">
            <w:pPr>
              <w:spacing w:after="0" w:line="240" w:lineRule="auto"/>
              <w:jc w:val="right"/>
              <w:rPr>
                <w:rFonts w:ascii="Calibri" w:eastAsia="Times New Roman" w:hAnsi="Calibri" w:cs="Calibri"/>
                <w:b/>
                <w:bCs/>
                <w:color w:val="000000"/>
                <w:sz w:val="16"/>
                <w:szCs w:val="16"/>
              </w:rPr>
            </w:pPr>
            <w:r w:rsidRPr="008E1FC2">
              <w:rPr>
                <w:rFonts w:ascii="Calibri" w:hAnsi="Calibri" w:cs="Calibri"/>
                <w:b/>
                <w:bCs/>
                <w:color w:val="000000"/>
                <w:sz w:val="16"/>
                <w:szCs w:val="16"/>
              </w:rPr>
              <w:t>2039</w:t>
            </w:r>
          </w:p>
        </w:tc>
      </w:tr>
      <w:tr w:rsidR="00D96D89" w:rsidRPr="00BE1566" w14:paraId="0BAE3817" w14:textId="77777777" w:rsidTr="00D96D89">
        <w:trPr>
          <w:trHeight w:val="293"/>
        </w:trPr>
        <w:tc>
          <w:tcPr>
            <w:tcW w:w="800" w:type="pct"/>
            <w:tcBorders>
              <w:top w:val="nil"/>
              <w:left w:val="nil"/>
              <w:bottom w:val="nil"/>
              <w:right w:val="nil"/>
            </w:tcBorders>
            <w:shd w:val="clear" w:color="000000" w:fill="FFFFFF"/>
            <w:noWrap/>
            <w:vAlign w:val="bottom"/>
            <w:hideMark/>
          </w:tcPr>
          <w:p w14:paraId="179C81C5" w14:textId="77777777" w:rsidR="008E1FC2" w:rsidRPr="00BE1566" w:rsidRDefault="008E1FC2" w:rsidP="008E1FC2">
            <w:pPr>
              <w:spacing w:after="0" w:line="240" w:lineRule="auto"/>
              <w:rPr>
                <w:rFonts w:ascii="Calibri" w:eastAsia="Times New Roman" w:hAnsi="Calibri" w:cs="Calibri"/>
                <w:b/>
                <w:bCs/>
                <w:color w:val="000000"/>
                <w:sz w:val="16"/>
                <w:szCs w:val="16"/>
              </w:rPr>
            </w:pPr>
            <w:r w:rsidRPr="00BE1566">
              <w:rPr>
                <w:rFonts w:ascii="Calibri" w:eastAsia="Times New Roman" w:hAnsi="Calibri" w:cs="Calibri"/>
                <w:b/>
                <w:bCs/>
                <w:color w:val="000000"/>
                <w:sz w:val="16"/>
                <w:szCs w:val="16"/>
              </w:rPr>
              <w:t>Baseline</w:t>
            </w:r>
          </w:p>
        </w:tc>
        <w:tc>
          <w:tcPr>
            <w:tcW w:w="420" w:type="pct"/>
            <w:tcBorders>
              <w:top w:val="nil"/>
              <w:left w:val="nil"/>
              <w:bottom w:val="nil"/>
              <w:right w:val="nil"/>
            </w:tcBorders>
            <w:shd w:val="clear" w:color="000000" w:fill="FFFFFF"/>
            <w:noWrap/>
            <w:vAlign w:val="bottom"/>
          </w:tcPr>
          <w:p w14:paraId="4B8007B5" w14:textId="18ED0044"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 </w:t>
            </w:r>
          </w:p>
        </w:tc>
        <w:tc>
          <w:tcPr>
            <w:tcW w:w="420" w:type="pct"/>
            <w:tcBorders>
              <w:top w:val="nil"/>
              <w:left w:val="nil"/>
              <w:bottom w:val="nil"/>
              <w:right w:val="nil"/>
            </w:tcBorders>
            <w:shd w:val="clear" w:color="000000" w:fill="FFFFFF"/>
            <w:noWrap/>
            <w:vAlign w:val="bottom"/>
          </w:tcPr>
          <w:p w14:paraId="09B4820D" w14:textId="572FF6FC"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 </w:t>
            </w:r>
          </w:p>
        </w:tc>
        <w:tc>
          <w:tcPr>
            <w:tcW w:w="420" w:type="pct"/>
            <w:tcBorders>
              <w:top w:val="nil"/>
              <w:left w:val="nil"/>
              <w:bottom w:val="nil"/>
              <w:right w:val="nil"/>
            </w:tcBorders>
            <w:shd w:val="clear" w:color="000000" w:fill="FFFFFF"/>
            <w:noWrap/>
            <w:vAlign w:val="bottom"/>
          </w:tcPr>
          <w:p w14:paraId="6CEDD149" w14:textId="662309EC"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 </w:t>
            </w:r>
          </w:p>
        </w:tc>
        <w:tc>
          <w:tcPr>
            <w:tcW w:w="420" w:type="pct"/>
            <w:tcBorders>
              <w:top w:val="nil"/>
              <w:left w:val="nil"/>
              <w:bottom w:val="nil"/>
              <w:right w:val="nil"/>
            </w:tcBorders>
            <w:shd w:val="clear" w:color="000000" w:fill="FFFFFF"/>
            <w:noWrap/>
            <w:vAlign w:val="bottom"/>
          </w:tcPr>
          <w:p w14:paraId="7A82CFEF" w14:textId="69407D8C"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 </w:t>
            </w:r>
          </w:p>
        </w:tc>
        <w:tc>
          <w:tcPr>
            <w:tcW w:w="420" w:type="pct"/>
            <w:tcBorders>
              <w:top w:val="nil"/>
              <w:left w:val="nil"/>
              <w:bottom w:val="nil"/>
              <w:right w:val="nil"/>
            </w:tcBorders>
            <w:shd w:val="clear" w:color="000000" w:fill="FFFFFF"/>
            <w:noWrap/>
            <w:vAlign w:val="bottom"/>
          </w:tcPr>
          <w:p w14:paraId="076FEBC1" w14:textId="6A1D4364"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 </w:t>
            </w:r>
          </w:p>
        </w:tc>
        <w:tc>
          <w:tcPr>
            <w:tcW w:w="420" w:type="pct"/>
            <w:tcBorders>
              <w:top w:val="nil"/>
              <w:left w:val="nil"/>
              <w:bottom w:val="nil"/>
              <w:right w:val="nil"/>
            </w:tcBorders>
            <w:shd w:val="clear" w:color="000000" w:fill="FFFFFF"/>
            <w:noWrap/>
            <w:vAlign w:val="bottom"/>
          </w:tcPr>
          <w:p w14:paraId="6BB3FC30" w14:textId="7FAF43DE"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 </w:t>
            </w:r>
          </w:p>
        </w:tc>
        <w:tc>
          <w:tcPr>
            <w:tcW w:w="420" w:type="pct"/>
            <w:tcBorders>
              <w:top w:val="nil"/>
              <w:left w:val="nil"/>
              <w:bottom w:val="nil"/>
              <w:right w:val="nil"/>
            </w:tcBorders>
            <w:shd w:val="clear" w:color="000000" w:fill="FFFFFF"/>
            <w:noWrap/>
            <w:vAlign w:val="bottom"/>
          </w:tcPr>
          <w:p w14:paraId="72DEBCAA" w14:textId="01CB951C"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 </w:t>
            </w:r>
          </w:p>
        </w:tc>
        <w:tc>
          <w:tcPr>
            <w:tcW w:w="420" w:type="pct"/>
            <w:tcBorders>
              <w:top w:val="nil"/>
              <w:left w:val="nil"/>
              <w:bottom w:val="nil"/>
              <w:right w:val="nil"/>
            </w:tcBorders>
            <w:shd w:val="clear" w:color="000000" w:fill="FFFFFF"/>
            <w:noWrap/>
            <w:vAlign w:val="bottom"/>
          </w:tcPr>
          <w:p w14:paraId="65F8B014" w14:textId="7A241794"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 </w:t>
            </w:r>
          </w:p>
        </w:tc>
        <w:tc>
          <w:tcPr>
            <w:tcW w:w="420" w:type="pct"/>
            <w:tcBorders>
              <w:top w:val="nil"/>
              <w:left w:val="nil"/>
              <w:bottom w:val="nil"/>
              <w:right w:val="nil"/>
            </w:tcBorders>
            <w:shd w:val="clear" w:color="000000" w:fill="FFFFFF"/>
            <w:noWrap/>
            <w:vAlign w:val="bottom"/>
          </w:tcPr>
          <w:p w14:paraId="1087E5E1" w14:textId="55A982C0"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 </w:t>
            </w:r>
          </w:p>
        </w:tc>
        <w:tc>
          <w:tcPr>
            <w:tcW w:w="420" w:type="pct"/>
            <w:tcBorders>
              <w:top w:val="nil"/>
              <w:left w:val="nil"/>
              <w:bottom w:val="nil"/>
              <w:right w:val="nil"/>
            </w:tcBorders>
            <w:shd w:val="clear" w:color="000000" w:fill="FFFFFF"/>
            <w:noWrap/>
            <w:vAlign w:val="bottom"/>
          </w:tcPr>
          <w:p w14:paraId="488AB0D2" w14:textId="6309E593" w:rsidR="008E1FC2" w:rsidRPr="008E1FC2" w:rsidRDefault="008E1FC2" w:rsidP="008E1FC2">
            <w:pPr>
              <w:spacing w:after="0" w:line="240" w:lineRule="auto"/>
              <w:jc w:val="center"/>
              <w:rPr>
                <w:rFonts w:ascii="Calibri" w:eastAsia="Times New Roman" w:hAnsi="Calibri" w:cs="Calibri"/>
                <w:b/>
                <w:bCs/>
                <w:color w:val="000000"/>
                <w:sz w:val="16"/>
                <w:szCs w:val="16"/>
              </w:rPr>
            </w:pPr>
            <w:r w:rsidRPr="008E1FC2">
              <w:rPr>
                <w:rFonts w:ascii="Calibri" w:hAnsi="Calibri" w:cs="Calibri"/>
                <w:b/>
                <w:bCs/>
                <w:color w:val="000000"/>
                <w:sz w:val="16"/>
                <w:szCs w:val="16"/>
              </w:rPr>
              <w:t> </w:t>
            </w:r>
          </w:p>
        </w:tc>
      </w:tr>
      <w:tr w:rsidR="004463E3" w:rsidRPr="00BE1566" w14:paraId="169D4E33" w14:textId="77777777" w:rsidTr="00D96D89">
        <w:trPr>
          <w:trHeight w:val="315"/>
        </w:trPr>
        <w:tc>
          <w:tcPr>
            <w:tcW w:w="800" w:type="pct"/>
            <w:tcBorders>
              <w:top w:val="nil"/>
              <w:left w:val="nil"/>
              <w:bottom w:val="nil"/>
              <w:right w:val="nil"/>
            </w:tcBorders>
            <w:shd w:val="clear" w:color="000000" w:fill="FDE9D9"/>
            <w:noWrap/>
            <w:vAlign w:val="bottom"/>
            <w:hideMark/>
          </w:tcPr>
          <w:p w14:paraId="35AA8EFE"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Live Tree CO2 Baseline</w:t>
            </w:r>
          </w:p>
        </w:tc>
        <w:tc>
          <w:tcPr>
            <w:tcW w:w="420" w:type="pct"/>
            <w:tcBorders>
              <w:top w:val="nil"/>
              <w:left w:val="nil"/>
              <w:bottom w:val="nil"/>
              <w:right w:val="nil"/>
            </w:tcBorders>
            <w:shd w:val="clear" w:color="000000" w:fill="FDE9D9"/>
            <w:noWrap/>
            <w:vAlign w:val="bottom"/>
          </w:tcPr>
          <w:p w14:paraId="6B625120" w14:textId="257DC858" w:rsidR="004463E3" w:rsidRPr="004463E3" w:rsidRDefault="004463E3" w:rsidP="004463E3">
            <w:pPr>
              <w:spacing w:after="0" w:line="240" w:lineRule="auto"/>
              <w:jc w:val="right"/>
              <w:rPr>
                <w:rFonts w:eastAsia="Times New Roman" w:cstheme="minorHAnsi"/>
                <w:color w:val="000000"/>
                <w:sz w:val="16"/>
                <w:szCs w:val="16"/>
              </w:rPr>
            </w:pPr>
            <w:r w:rsidRPr="008A7FD7">
              <w:rPr>
                <w:rFonts w:cstheme="minorHAnsi"/>
                <w:color w:val="000000"/>
                <w:sz w:val="16"/>
                <w:szCs w:val="16"/>
              </w:rPr>
              <w:t>994,551.9</w:t>
            </w:r>
          </w:p>
        </w:tc>
        <w:tc>
          <w:tcPr>
            <w:tcW w:w="420" w:type="pct"/>
            <w:tcBorders>
              <w:top w:val="nil"/>
              <w:left w:val="nil"/>
              <w:bottom w:val="nil"/>
              <w:right w:val="nil"/>
            </w:tcBorders>
            <w:shd w:val="clear" w:color="000000" w:fill="FDE9D9"/>
            <w:noWrap/>
            <w:vAlign w:val="bottom"/>
          </w:tcPr>
          <w:p w14:paraId="35CF23C6" w14:textId="3A29F8DA" w:rsidR="004463E3" w:rsidRPr="004463E3" w:rsidRDefault="004463E3" w:rsidP="004463E3">
            <w:pPr>
              <w:spacing w:after="0" w:line="240" w:lineRule="auto"/>
              <w:jc w:val="right"/>
              <w:rPr>
                <w:rFonts w:eastAsia="Times New Roman" w:cstheme="minorHAnsi"/>
                <w:color w:val="000000"/>
                <w:sz w:val="16"/>
                <w:szCs w:val="16"/>
              </w:rPr>
            </w:pPr>
            <w:r w:rsidRPr="00583A24">
              <w:rPr>
                <w:rFonts w:cstheme="minorHAnsi"/>
                <w:color w:val="000000"/>
                <w:sz w:val="16"/>
                <w:szCs w:val="16"/>
              </w:rPr>
              <w:t>873,776.0</w:t>
            </w:r>
          </w:p>
        </w:tc>
        <w:tc>
          <w:tcPr>
            <w:tcW w:w="420" w:type="pct"/>
            <w:tcBorders>
              <w:top w:val="nil"/>
              <w:left w:val="nil"/>
              <w:bottom w:val="nil"/>
              <w:right w:val="nil"/>
            </w:tcBorders>
            <w:shd w:val="clear" w:color="000000" w:fill="FDE9D9"/>
            <w:noWrap/>
            <w:vAlign w:val="bottom"/>
          </w:tcPr>
          <w:p w14:paraId="669C332D" w14:textId="3F45DED7"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749,829.4</w:t>
            </w:r>
          </w:p>
        </w:tc>
        <w:tc>
          <w:tcPr>
            <w:tcW w:w="420" w:type="pct"/>
            <w:tcBorders>
              <w:top w:val="nil"/>
              <w:left w:val="nil"/>
              <w:bottom w:val="nil"/>
              <w:right w:val="nil"/>
            </w:tcBorders>
            <w:shd w:val="clear" w:color="000000" w:fill="FDE9D9"/>
            <w:noWrap/>
            <w:vAlign w:val="bottom"/>
          </w:tcPr>
          <w:p w14:paraId="116433CC" w14:textId="7682BAF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622,471.1</w:t>
            </w:r>
          </w:p>
        </w:tc>
        <w:tc>
          <w:tcPr>
            <w:tcW w:w="420" w:type="pct"/>
            <w:tcBorders>
              <w:top w:val="nil"/>
              <w:left w:val="nil"/>
              <w:bottom w:val="nil"/>
              <w:right w:val="nil"/>
            </w:tcBorders>
            <w:shd w:val="clear" w:color="000000" w:fill="FDE9D9"/>
            <w:noWrap/>
            <w:vAlign w:val="bottom"/>
          </w:tcPr>
          <w:p w14:paraId="4C23C28B" w14:textId="104A8B6B"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642,555.6</w:t>
            </w:r>
          </w:p>
        </w:tc>
        <w:tc>
          <w:tcPr>
            <w:tcW w:w="420" w:type="pct"/>
            <w:tcBorders>
              <w:top w:val="nil"/>
              <w:left w:val="nil"/>
              <w:bottom w:val="nil"/>
              <w:right w:val="nil"/>
            </w:tcBorders>
            <w:shd w:val="clear" w:color="000000" w:fill="FDE9D9"/>
            <w:noWrap/>
            <w:vAlign w:val="bottom"/>
          </w:tcPr>
          <w:p w14:paraId="12EB397F" w14:textId="16D32FA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665,470.3</w:t>
            </w:r>
          </w:p>
        </w:tc>
        <w:tc>
          <w:tcPr>
            <w:tcW w:w="420" w:type="pct"/>
            <w:tcBorders>
              <w:top w:val="nil"/>
              <w:left w:val="nil"/>
              <w:bottom w:val="nil"/>
              <w:right w:val="nil"/>
            </w:tcBorders>
            <w:shd w:val="clear" w:color="000000" w:fill="FDE9D9"/>
            <w:noWrap/>
            <w:vAlign w:val="bottom"/>
          </w:tcPr>
          <w:p w14:paraId="65097F4C" w14:textId="3ED82B2E"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688,384.9</w:t>
            </w:r>
          </w:p>
        </w:tc>
        <w:tc>
          <w:tcPr>
            <w:tcW w:w="420" w:type="pct"/>
            <w:tcBorders>
              <w:top w:val="nil"/>
              <w:left w:val="nil"/>
              <w:bottom w:val="nil"/>
              <w:right w:val="nil"/>
            </w:tcBorders>
            <w:shd w:val="clear" w:color="000000" w:fill="FDE9D9"/>
            <w:noWrap/>
            <w:vAlign w:val="bottom"/>
          </w:tcPr>
          <w:p w14:paraId="38656F5C" w14:textId="05FD53D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711,299.6</w:t>
            </w:r>
          </w:p>
        </w:tc>
        <w:tc>
          <w:tcPr>
            <w:tcW w:w="420" w:type="pct"/>
            <w:tcBorders>
              <w:top w:val="nil"/>
              <w:left w:val="nil"/>
              <w:bottom w:val="nil"/>
              <w:right w:val="nil"/>
            </w:tcBorders>
            <w:shd w:val="clear" w:color="000000" w:fill="FDE9D9"/>
            <w:noWrap/>
            <w:vAlign w:val="bottom"/>
          </w:tcPr>
          <w:p w14:paraId="266DF3B7" w14:textId="62850CB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734,214.3</w:t>
            </w:r>
          </w:p>
        </w:tc>
        <w:tc>
          <w:tcPr>
            <w:tcW w:w="420" w:type="pct"/>
            <w:tcBorders>
              <w:top w:val="nil"/>
              <w:left w:val="nil"/>
              <w:bottom w:val="nil"/>
              <w:right w:val="nil"/>
            </w:tcBorders>
            <w:shd w:val="clear" w:color="000000" w:fill="FDE9D9"/>
            <w:noWrap/>
            <w:vAlign w:val="bottom"/>
          </w:tcPr>
          <w:p w14:paraId="632B7E68" w14:textId="254553CC"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757,129.0</w:t>
            </w:r>
          </w:p>
        </w:tc>
      </w:tr>
      <w:tr w:rsidR="004463E3" w:rsidRPr="00BE1566" w14:paraId="358B5450" w14:textId="77777777" w:rsidTr="00D96D89">
        <w:trPr>
          <w:trHeight w:val="315"/>
        </w:trPr>
        <w:tc>
          <w:tcPr>
            <w:tcW w:w="800" w:type="pct"/>
            <w:tcBorders>
              <w:top w:val="nil"/>
              <w:left w:val="nil"/>
              <w:bottom w:val="nil"/>
              <w:right w:val="nil"/>
            </w:tcBorders>
            <w:shd w:val="clear" w:color="000000" w:fill="FDE9D9"/>
            <w:noWrap/>
            <w:vAlign w:val="bottom"/>
            <w:hideMark/>
          </w:tcPr>
          <w:p w14:paraId="2BCDBC04"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Standing dead CO2 Baseline</w:t>
            </w:r>
          </w:p>
        </w:tc>
        <w:tc>
          <w:tcPr>
            <w:tcW w:w="420" w:type="pct"/>
            <w:tcBorders>
              <w:top w:val="nil"/>
              <w:left w:val="nil"/>
              <w:bottom w:val="nil"/>
              <w:right w:val="nil"/>
            </w:tcBorders>
            <w:shd w:val="clear" w:color="000000" w:fill="FDE9D9"/>
            <w:noWrap/>
            <w:vAlign w:val="bottom"/>
          </w:tcPr>
          <w:p w14:paraId="7096741A" w14:textId="6FAC7CFE"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11,797.5</w:t>
            </w:r>
          </w:p>
        </w:tc>
        <w:tc>
          <w:tcPr>
            <w:tcW w:w="420" w:type="pct"/>
            <w:tcBorders>
              <w:top w:val="nil"/>
              <w:left w:val="nil"/>
              <w:bottom w:val="nil"/>
              <w:right w:val="nil"/>
            </w:tcBorders>
            <w:shd w:val="clear" w:color="000000" w:fill="FDE9D9"/>
            <w:noWrap/>
            <w:vAlign w:val="bottom"/>
          </w:tcPr>
          <w:p w14:paraId="56F10E84" w14:textId="47440BD7"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10,910.3</w:t>
            </w:r>
          </w:p>
        </w:tc>
        <w:tc>
          <w:tcPr>
            <w:tcW w:w="420" w:type="pct"/>
            <w:tcBorders>
              <w:top w:val="nil"/>
              <w:left w:val="nil"/>
              <w:bottom w:val="nil"/>
              <w:right w:val="nil"/>
            </w:tcBorders>
            <w:shd w:val="clear" w:color="000000" w:fill="FDE9D9"/>
            <w:noWrap/>
            <w:vAlign w:val="bottom"/>
          </w:tcPr>
          <w:p w14:paraId="78C6CE91" w14:textId="188722C8"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9,810.0</w:t>
            </w:r>
          </w:p>
        </w:tc>
        <w:tc>
          <w:tcPr>
            <w:tcW w:w="420" w:type="pct"/>
            <w:tcBorders>
              <w:top w:val="nil"/>
              <w:left w:val="nil"/>
              <w:bottom w:val="nil"/>
              <w:right w:val="nil"/>
            </w:tcBorders>
            <w:shd w:val="clear" w:color="000000" w:fill="FDE9D9"/>
            <w:noWrap/>
            <w:vAlign w:val="bottom"/>
          </w:tcPr>
          <w:p w14:paraId="7DEF9119" w14:textId="134E06CF"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9,038.7</w:t>
            </w:r>
          </w:p>
        </w:tc>
        <w:tc>
          <w:tcPr>
            <w:tcW w:w="420" w:type="pct"/>
            <w:tcBorders>
              <w:top w:val="nil"/>
              <w:left w:val="nil"/>
              <w:bottom w:val="nil"/>
              <w:right w:val="nil"/>
            </w:tcBorders>
            <w:shd w:val="clear" w:color="000000" w:fill="FDE9D9"/>
            <w:noWrap/>
            <w:vAlign w:val="bottom"/>
          </w:tcPr>
          <w:p w14:paraId="6A9E792B" w14:textId="3367F6DC"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8,418.4</w:t>
            </w:r>
          </w:p>
        </w:tc>
        <w:tc>
          <w:tcPr>
            <w:tcW w:w="420" w:type="pct"/>
            <w:tcBorders>
              <w:top w:val="nil"/>
              <w:left w:val="nil"/>
              <w:bottom w:val="nil"/>
              <w:right w:val="nil"/>
            </w:tcBorders>
            <w:shd w:val="clear" w:color="000000" w:fill="FDE9D9"/>
            <w:noWrap/>
            <w:vAlign w:val="bottom"/>
          </w:tcPr>
          <w:p w14:paraId="5C9B6805" w14:textId="36763096"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8,145.6</w:t>
            </w:r>
          </w:p>
        </w:tc>
        <w:tc>
          <w:tcPr>
            <w:tcW w:w="420" w:type="pct"/>
            <w:tcBorders>
              <w:top w:val="nil"/>
              <w:left w:val="nil"/>
              <w:bottom w:val="nil"/>
              <w:right w:val="nil"/>
            </w:tcBorders>
            <w:shd w:val="clear" w:color="000000" w:fill="FDE9D9"/>
            <w:noWrap/>
            <w:vAlign w:val="bottom"/>
          </w:tcPr>
          <w:p w14:paraId="50F27C41" w14:textId="6F32BC16"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7,872.8</w:t>
            </w:r>
          </w:p>
        </w:tc>
        <w:tc>
          <w:tcPr>
            <w:tcW w:w="420" w:type="pct"/>
            <w:tcBorders>
              <w:top w:val="nil"/>
              <w:left w:val="nil"/>
              <w:bottom w:val="nil"/>
              <w:right w:val="nil"/>
            </w:tcBorders>
            <w:shd w:val="clear" w:color="000000" w:fill="FDE9D9"/>
            <w:noWrap/>
            <w:vAlign w:val="bottom"/>
          </w:tcPr>
          <w:p w14:paraId="0195ADCC" w14:textId="086690C8"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7,600.0</w:t>
            </w:r>
          </w:p>
        </w:tc>
        <w:tc>
          <w:tcPr>
            <w:tcW w:w="420" w:type="pct"/>
            <w:tcBorders>
              <w:top w:val="nil"/>
              <w:left w:val="nil"/>
              <w:bottom w:val="nil"/>
              <w:right w:val="nil"/>
            </w:tcBorders>
            <w:shd w:val="clear" w:color="000000" w:fill="FDE9D9"/>
            <w:noWrap/>
            <w:vAlign w:val="bottom"/>
          </w:tcPr>
          <w:p w14:paraId="663918F7" w14:textId="61CCF4A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7,327.1</w:t>
            </w:r>
          </w:p>
        </w:tc>
        <w:tc>
          <w:tcPr>
            <w:tcW w:w="420" w:type="pct"/>
            <w:tcBorders>
              <w:top w:val="nil"/>
              <w:left w:val="nil"/>
              <w:bottom w:val="nil"/>
              <w:right w:val="nil"/>
            </w:tcBorders>
            <w:shd w:val="clear" w:color="000000" w:fill="FDE9D9"/>
            <w:noWrap/>
            <w:vAlign w:val="bottom"/>
          </w:tcPr>
          <w:p w14:paraId="377F9BDE" w14:textId="0ED202F6"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7,054.3</w:t>
            </w:r>
          </w:p>
        </w:tc>
      </w:tr>
      <w:tr w:rsidR="004463E3" w:rsidRPr="00BE1566" w14:paraId="44635359" w14:textId="77777777" w:rsidTr="00D96D89">
        <w:trPr>
          <w:trHeight w:val="315"/>
        </w:trPr>
        <w:tc>
          <w:tcPr>
            <w:tcW w:w="800" w:type="pct"/>
            <w:tcBorders>
              <w:top w:val="nil"/>
              <w:left w:val="nil"/>
              <w:bottom w:val="nil"/>
              <w:right w:val="nil"/>
            </w:tcBorders>
            <w:shd w:val="clear" w:color="000000" w:fill="FDE9D9"/>
            <w:noWrap/>
            <w:vAlign w:val="bottom"/>
            <w:hideMark/>
          </w:tcPr>
          <w:p w14:paraId="3D2E5189"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HWP Baseline</w:t>
            </w:r>
          </w:p>
        </w:tc>
        <w:tc>
          <w:tcPr>
            <w:tcW w:w="420" w:type="pct"/>
            <w:tcBorders>
              <w:top w:val="nil"/>
              <w:left w:val="nil"/>
              <w:bottom w:val="nil"/>
              <w:right w:val="nil"/>
            </w:tcBorders>
            <w:shd w:val="clear" w:color="000000" w:fill="FDE9D9"/>
            <w:noWrap/>
            <w:vAlign w:val="bottom"/>
          </w:tcPr>
          <w:p w14:paraId="23596BA8" w14:textId="29C84081"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14,933.4</w:t>
            </w:r>
          </w:p>
        </w:tc>
        <w:tc>
          <w:tcPr>
            <w:tcW w:w="420" w:type="pct"/>
            <w:tcBorders>
              <w:top w:val="nil"/>
              <w:left w:val="nil"/>
              <w:bottom w:val="nil"/>
              <w:right w:val="nil"/>
            </w:tcBorders>
            <w:shd w:val="clear" w:color="000000" w:fill="FDE9D9"/>
            <w:noWrap/>
            <w:vAlign w:val="bottom"/>
          </w:tcPr>
          <w:p w14:paraId="3883D96F" w14:textId="025F63FE"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14,933.4</w:t>
            </w:r>
          </w:p>
        </w:tc>
        <w:tc>
          <w:tcPr>
            <w:tcW w:w="420" w:type="pct"/>
            <w:tcBorders>
              <w:top w:val="nil"/>
              <w:left w:val="nil"/>
              <w:bottom w:val="nil"/>
              <w:right w:val="nil"/>
            </w:tcBorders>
            <w:shd w:val="clear" w:color="000000" w:fill="FDE9D9"/>
            <w:noWrap/>
            <w:vAlign w:val="bottom"/>
          </w:tcPr>
          <w:p w14:paraId="35394327" w14:textId="208BB38F"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14,933.4</w:t>
            </w:r>
          </w:p>
        </w:tc>
        <w:tc>
          <w:tcPr>
            <w:tcW w:w="420" w:type="pct"/>
            <w:tcBorders>
              <w:top w:val="nil"/>
              <w:left w:val="nil"/>
              <w:bottom w:val="nil"/>
              <w:right w:val="nil"/>
            </w:tcBorders>
            <w:shd w:val="clear" w:color="000000" w:fill="FDE9D9"/>
            <w:noWrap/>
            <w:vAlign w:val="bottom"/>
          </w:tcPr>
          <w:p w14:paraId="70D2021C" w14:textId="2A7435D7"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14,933.4</w:t>
            </w:r>
          </w:p>
        </w:tc>
        <w:tc>
          <w:tcPr>
            <w:tcW w:w="420" w:type="pct"/>
            <w:tcBorders>
              <w:top w:val="nil"/>
              <w:left w:val="nil"/>
              <w:bottom w:val="nil"/>
              <w:right w:val="nil"/>
            </w:tcBorders>
            <w:shd w:val="clear" w:color="000000" w:fill="FDE9D9"/>
            <w:noWrap/>
            <w:vAlign w:val="bottom"/>
          </w:tcPr>
          <w:p w14:paraId="43A7EF4C" w14:textId="47424F1F"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14,933.4</w:t>
            </w:r>
          </w:p>
        </w:tc>
        <w:tc>
          <w:tcPr>
            <w:tcW w:w="420" w:type="pct"/>
            <w:tcBorders>
              <w:top w:val="nil"/>
              <w:left w:val="nil"/>
              <w:bottom w:val="nil"/>
              <w:right w:val="nil"/>
            </w:tcBorders>
            <w:shd w:val="clear" w:color="000000" w:fill="FDE9D9"/>
            <w:noWrap/>
            <w:vAlign w:val="bottom"/>
          </w:tcPr>
          <w:p w14:paraId="1C940BA8" w14:textId="55E2462E"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14,933.4</w:t>
            </w:r>
          </w:p>
        </w:tc>
        <w:tc>
          <w:tcPr>
            <w:tcW w:w="420" w:type="pct"/>
            <w:tcBorders>
              <w:top w:val="nil"/>
              <w:left w:val="nil"/>
              <w:bottom w:val="nil"/>
              <w:right w:val="nil"/>
            </w:tcBorders>
            <w:shd w:val="clear" w:color="000000" w:fill="FDE9D9"/>
            <w:noWrap/>
            <w:vAlign w:val="bottom"/>
          </w:tcPr>
          <w:p w14:paraId="768FE5B9" w14:textId="64AB3E75"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14,933.4</w:t>
            </w:r>
          </w:p>
        </w:tc>
        <w:tc>
          <w:tcPr>
            <w:tcW w:w="420" w:type="pct"/>
            <w:tcBorders>
              <w:top w:val="nil"/>
              <w:left w:val="nil"/>
              <w:bottom w:val="nil"/>
              <w:right w:val="nil"/>
            </w:tcBorders>
            <w:shd w:val="clear" w:color="000000" w:fill="FDE9D9"/>
            <w:noWrap/>
            <w:vAlign w:val="bottom"/>
          </w:tcPr>
          <w:p w14:paraId="096CE52B" w14:textId="1887EFFD"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14,933.4</w:t>
            </w:r>
          </w:p>
        </w:tc>
        <w:tc>
          <w:tcPr>
            <w:tcW w:w="420" w:type="pct"/>
            <w:tcBorders>
              <w:top w:val="nil"/>
              <w:left w:val="nil"/>
              <w:bottom w:val="nil"/>
              <w:right w:val="nil"/>
            </w:tcBorders>
            <w:shd w:val="clear" w:color="000000" w:fill="FDE9D9"/>
            <w:noWrap/>
            <w:vAlign w:val="bottom"/>
          </w:tcPr>
          <w:p w14:paraId="31A058F2" w14:textId="320E7C7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14,933.4</w:t>
            </w:r>
          </w:p>
        </w:tc>
        <w:tc>
          <w:tcPr>
            <w:tcW w:w="420" w:type="pct"/>
            <w:tcBorders>
              <w:top w:val="nil"/>
              <w:left w:val="nil"/>
              <w:bottom w:val="nil"/>
              <w:right w:val="nil"/>
            </w:tcBorders>
            <w:shd w:val="clear" w:color="000000" w:fill="FDE9D9"/>
            <w:noWrap/>
            <w:vAlign w:val="bottom"/>
          </w:tcPr>
          <w:p w14:paraId="6F8109D6" w14:textId="70C922D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14,933.4</w:t>
            </w:r>
          </w:p>
        </w:tc>
      </w:tr>
      <w:tr w:rsidR="004463E3" w:rsidRPr="00BE1566" w14:paraId="1E19328B" w14:textId="77777777" w:rsidTr="00D96D89">
        <w:trPr>
          <w:trHeight w:val="285"/>
        </w:trPr>
        <w:tc>
          <w:tcPr>
            <w:tcW w:w="800" w:type="pct"/>
            <w:tcBorders>
              <w:top w:val="nil"/>
              <w:left w:val="nil"/>
              <w:bottom w:val="nil"/>
              <w:right w:val="nil"/>
            </w:tcBorders>
            <w:shd w:val="clear" w:color="auto" w:fill="auto"/>
            <w:noWrap/>
            <w:vAlign w:val="bottom"/>
            <w:hideMark/>
          </w:tcPr>
          <w:p w14:paraId="318159DF"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sum stocks</w:t>
            </w:r>
          </w:p>
        </w:tc>
        <w:tc>
          <w:tcPr>
            <w:tcW w:w="420" w:type="pct"/>
            <w:tcBorders>
              <w:top w:val="nil"/>
              <w:left w:val="nil"/>
              <w:bottom w:val="nil"/>
              <w:right w:val="nil"/>
            </w:tcBorders>
            <w:shd w:val="clear" w:color="auto" w:fill="auto"/>
            <w:noWrap/>
            <w:vAlign w:val="bottom"/>
          </w:tcPr>
          <w:p w14:paraId="135EC767" w14:textId="6F497A0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1,170,617.0</w:t>
            </w:r>
          </w:p>
        </w:tc>
        <w:tc>
          <w:tcPr>
            <w:tcW w:w="420" w:type="pct"/>
            <w:tcBorders>
              <w:top w:val="nil"/>
              <w:left w:val="nil"/>
              <w:bottom w:val="nil"/>
              <w:right w:val="nil"/>
            </w:tcBorders>
            <w:shd w:val="clear" w:color="auto" w:fill="auto"/>
            <w:noWrap/>
            <w:vAlign w:val="bottom"/>
          </w:tcPr>
          <w:p w14:paraId="36148619" w14:textId="70DA365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1,063,887.4</w:t>
            </w:r>
          </w:p>
        </w:tc>
        <w:tc>
          <w:tcPr>
            <w:tcW w:w="420" w:type="pct"/>
            <w:tcBorders>
              <w:top w:val="nil"/>
              <w:left w:val="nil"/>
              <w:bottom w:val="nil"/>
              <w:right w:val="nil"/>
            </w:tcBorders>
            <w:shd w:val="clear" w:color="auto" w:fill="auto"/>
            <w:noWrap/>
            <w:vAlign w:val="bottom"/>
          </w:tcPr>
          <w:p w14:paraId="4C693217" w14:textId="7E6316BE"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953,773.8</w:t>
            </w:r>
          </w:p>
        </w:tc>
        <w:tc>
          <w:tcPr>
            <w:tcW w:w="420" w:type="pct"/>
            <w:tcBorders>
              <w:top w:val="nil"/>
              <w:left w:val="nil"/>
              <w:bottom w:val="nil"/>
              <w:right w:val="nil"/>
            </w:tcBorders>
            <w:shd w:val="clear" w:color="auto" w:fill="auto"/>
            <w:noWrap/>
            <w:vAlign w:val="bottom"/>
          </w:tcPr>
          <w:p w14:paraId="7AB3815B" w14:textId="3A6C7C52"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840,577.6</w:t>
            </w:r>
          </w:p>
        </w:tc>
        <w:tc>
          <w:tcPr>
            <w:tcW w:w="420" w:type="pct"/>
            <w:tcBorders>
              <w:top w:val="nil"/>
              <w:left w:val="nil"/>
              <w:bottom w:val="nil"/>
              <w:right w:val="nil"/>
            </w:tcBorders>
            <w:shd w:val="clear" w:color="auto" w:fill="auto"/>
            <w:noWrap/>
            <w:vAlign w:val="bottom"/>
          </w:tcPr>
          <w:p w14:paraId="53767A91" w14:textId="6EEA3505"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874,975.3</w:t>
            </w:r>
          </w:p>
        </w:tc>
        <w:tc>
          <w:tcPr>
            <w:tcW w:w="420" w:type="pct"/>
            <w:tcBorders>
              <w:top w:val="nil"/>
              <w:left w:val="nil"/>
              <w:bottom w:val="nil"/>
              <w:right w:val="nil"/>
            </w:tcBorders>
            <w:shd w:val="clear" w:color="auto" w:fill="auto"/>
            <w:noWrap/>
            <w:vAlign w:val="bottom"/>
          </w:tcPr>
          <w:p w14:paraId="0348E5EB" w14:textId="2A00FBD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912,550.6</w:t>
            </w:r>
          </w:p>
        </w:tc>
        <w:tc>
          <w:tcPr>
            <w:tcW w:w="420" w:type="pct"/>
            <w:tcBorders>
              <w:top w:val="nil"/>
              <w:left w:val="nil"/>
              <w:bottom w:val="nil"/>
              <w:right w:val="nil"/>
            </w:tcBorders>
            <w:shd w:val="clear" w:color="auto" w:fill="auto"/>
            <w:noWrap/>
            <w:vAlign w:val="bottom"/>
          </w:tcPr>
          <w:p w14:paraId="1EA928A9" w14:textId="02CA9791"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950,125.8</w:t>
            </w:r>
          </w:p>
        </w:tc>
        <w:tc>
          <w:tcPr>
            <w:tcW w:w="420" w:type="pct"/>
            <w:tcBorders>
              <w:top w:val="nil"/>
              <w:left w:val="nil"/>
              <w:bottom w:val="nil"/>
              <w:right w:val="nil"/>
            </w:tcBorders>
            <w:shd w:val="clear" w:color="auto" w:fill="auto"/>
            <w:noWrap/>
            <w:vAlign w:val="bottom"/>
          </w:tcPr>
          <w:p w14:paraId="5A89AF64" w14:textId="31254016"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987,701.1</w:t>
            </w:r>
          </w:p>
        </w:tc>
        <w:tc>
          <w:tcPr>
            <w:tcW w:w="420" w:type="pct"/>
            <w:tcBorders>
              <w:top w:val="nil"/>
              <w:left w:val="nil"/>
              <w:bottom w:val="nil"/>
              <w:right w:val="nil"/>
            </w:tcBorders>
            <w:shd w:val="clear" w:color="auto" w:fill="auto"/>
            <w:noWrap/>
            <w:vAlign w:val="bottom"/>
          </w:tcPr>
          <w:p w14:paraId="6F1A718E" w14:textId="7D185E7D"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1,025,276.3</w:t>
            </w:r>
          </w:p>
        </w:tc>
        <w:tc>
          <w:tcPr>
            <w:tcW w:w="420" w:type="pct"/>
            <w:tcBorders>
              <w:top w:val="nil"/>
              <w:left w:val="nil"/>
              <w:bottom w:val="nil"/>
              <w:right w:val="nil"/>
            </w:tcBorders>
            <w:shd w:val="clear" w:color="auto" w:fill="auto"/>
            <w:noWrap/>
            <w:vAlign w:val="bottom"/>
          </w:tcPr>
          <w:p w14:paraId="648359CE" w14:textId="2AEDD1BB"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1,062,851.6</w:t>
            </w:r>
          </w:p>
        </w:tc>
      </w:tr>
      <w:tr w:rsidR="004463E3" w:rsidRPr="00BE1566" w14:paraId="096526B2" w14:textId="77777777" w:rsidTr="00D96D89">
        <w:trPr>
          <w:trHeight w:val="315"/>
        </w:trPr>
        <w:tc>
          <w:tcPr>
            <w:tcW w:w="800" w:type="pct"/>
            <w:tcBorders>
              <w:top w:val="nil"/>
              <w:left w:val="nil"/>
              <w:bottom w:val="nil"/>
              <w:right w:val="nil"/>
            </w:tcBorders>
            <w:shd w:val="clear" w:color="000000" w:fill="FFFFFF"/>
            <w:noWrap/>
            <w:vAlign w:val="bottom"/>
            <w:hideMark/>
          </w:tcPr>
          <w:p w14:paraId="47B4B7E4"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20yr Avg Baseline</w:t>
            </w:r>
          </w:p>
        </w:tc>
        <w:tc>
          <w:tcPr>
            <w:tcW w:w="420" w:type="pct"/>
            <w:tcBorders>
              <w:top w:val="nil"/>
              <w:left w:val="nil"/>
              <w:bottom w:val="nil"/>
              <w:right w:val="nil"/>
            </w:tcBorders>
            <w:shd w:val="clear" w:color="000000" w:fill="FFFFFF"/>
            <w:noWrap/>
            <w:vAlign w:val="bottom"/>
          </w:tcPr>
          <w:p w14:paraId="4224713A" w14:textId="0093B13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1,196,262.3</w:t>
            </w:r>
          </w:p>
        </w:tc>
        <w:tc>
          <w:tcPr>
            <w:tcW w:w="420" w:type="pct"/>
            <w:tcBorders>
              <w:top w:val="nil"/>
              <w:left w:val="nil"/>
              <w:bottom w:val="nil"/>
              <w:right w:val="nil"/>
            </w:tcBorders>
            <w:shd w:val="clear" w:color="000000" w:fill="FFFFFF"/>
            <w:noWrap/>
            <w:vAlign w:val="bottom"/>
          </w:tcPr>
          <w:p w14:paraId="0B189118" w14:textId="3D01C932"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1,196,262.3</w:t>
            </w:r>
          </w:p>
        </w:tc>
        <w:tc>
          <w:tcPr>
            <w:tcW w:w="420" w:type="pct"/>
            <w:tcBorders>
              <w:top w:val="nil"/>
              <w:left w:val="nil"/>
              <w:bottom w:val="nil"/>
              <w:right w:val="nil"/>
            </w:tcBorders>
            <w:shd w:val="clear" w:color="000000" w:fill="FFFFFF"/>
            <w:noWrap/>
            <w:vAlign w:val="bottom"/>
          </w:tcPr>
          <w:p w14:paraId="48830316" w14:textId="08904A9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1,196,262.3</w:t>
            </w:r>
          </w:p>
        </w:tc>
        <w:tc>
          <w:tcPr>
            <w:tcW w:w="420" w:type="pct"/>
            <w:tcBorders>
              <w:top w:val="nil"/>
              <w:left w:val="nil"/>
              <w:bottom w:val="nil"/>
              <w:right w:val="nil"/>
            </w:tcBorders>
            <w:shd w:val="clear" w:color="000000" w:fill="FFFFFF"/>
            <w:noWrap/>
            <w:vAlign w:val="bottom"/>
          </w:tcPr>
          <w:p w14:paraId="651A33C3" w14:textId="2289AC51"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1,196,262.3</w:t>
            </w:r>
          </w:p>
        </w:tc>
        <w:tc>
          <w:tcPr>
            <w:tcW w:w="420" w:type="pct"/>
            <w:tcBorders>
              <w:top w:val="nil"/>
              <w:left w:val="nil"/>
              <w:bottom w:val="nil"/>
              <w:right w:val="nil"/>
            </w:tcBorders>
            <w:shd w:val="clear" w:color="000000" w:fill="FFFFFF"/>
            <w:noWrap/>
            <w:vAlign w:val="bottom"/>
          </w:tcPr>
          <w:p w14:paraId="3940B8B3" w14:textId="16A45AC6"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1,196,262.3</w:t>
            </w:r>
          </w:p>
        </w:tc>
        <w:tc>
          <w:tcPr>
            <w:tcW w:w="420" w:type="pct"/>
            <w:tcBorders>
              <w:top w:val="nil"/>
              <w:left w:val="nil"/>
              <w:bottom w:val="nil"/>
              <w:right w:val="nil"/>
            </w:tcBorders>
            <w:shd w:val="clear" w:color="000000" w:fill="FFFFFF"/>
            <w:noWrap/>
            <w:vAlign w:val="bottom"/>
          </w:tcPr>
          <w:p w14:paraId="02FA8459" w14:textId="3A3B0C0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1,196,262.3</w:t>
            </w:r>
          </w:p>
        </w:tc>
        <w:tc>
          <w:tcPr>
            <w:tcW w:w="420" w:type="pct"/>
            <w:tcBorders>
              <w:top w:val="nil"/>
              <w:left w:val="nil"/>
              <w:bottom w:val="nil"/>
              <w:right w:val="nil"/>
            </w:tcBorders>
            <w:shd w:val="clear" w:color="000000" w:fill="FFFFFF"/>
            <w:noWrap/>
            <w:vAlign w:val="bottom"/>
          </w:tcPr>
          <w:p w14:paraId="5FB3EB39" w14:textId="06489DC5"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1,196,262.3</w:t>
            </w:r>
          </w:p>
        </w:tc>
        <w:tc>
          <w:tcPr>
            <w:tcW w:w="420" w:type="pct"/>
            <w:tcBorders>
              <w:top w:val="nil"/>
              <w:left w:val="nil"/>
              <w:bottom w:val="nil"/>
              <w:right w:val="nil"/>
            </w:tcBorders>
            <w:shd w:val="clear" w:color="000000" w:fill="FFFFFF"/>
            <w:noWrap/>
            <w:vAlign w:val="bottom"/>
          </w:tcPr>
          <w:p w14:paraId="1453DFF3" w14:textId="2AD93767"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1,196,262.3</w:t>
            </w:r>
          </w:p>
        </w:tc>
        <w:tc>
          <w:tcPr>
            <w:tcW w:w="420" w:type="pct"/>
            <w:tcBorders>
              <w:top w:val="nil"/>
              <w:left w:val="nil"/>
              <w:bottom w:val="nil"/>
              <w:right w:val="nil"/>
            </w:tcBorders>
            <w:shd w:val="clear" w:color="000000" w:fill="FFFFFF"/>
            <w:noWrap/>
            <w:vAlign w:val="bottom"/>
          </w:tcPr>
          <w:p w14:paraId="70C32984" w14:textId="6A2F4408"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1,196,262.3</w:t>
            </w:r>
          </w:p>
        </w:tc>
        <w:tc>
          <w:tcPr>
            <w:tcW w:w="420" w:type="pct"/>
            <w:tcBorders>
              <w:top w:val="nil"/>
              <w:left w:val="nil"/>
              <w:bottom w:val="nil"/>
              <w:right w:val="nil"/>
            </w:tcBorders>
            <w:shd w:val="clear" w:color="000000" w:fill="FFFFFF"/>
            <w:noWrap/>
            <w:vAlign w:val="bottom"/>
          </w:tcPr>
          <w:p w14:paraId="0A1CAEA8" w14:textId="3251CA0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1,196,262.3</w:t>
            </w:r>
          </w:p>
        </w:tc>
      </w:tr>
      <w:tr w:rsidR="004463E3" w:rsidRPr="00BE1566" w14:paraId="6238A48B" w14:textId="77777777" w:rsidTr="00D96D89">
        <w:trPr>
          <w:trHeight w:val="285"/>
        </w:trPr>
        <w:tc>
          <w:tcPr>
            <w:tcW w:w="800" w:type="pct"/>
            <w:tcBorders>
              <w:top w:val="nil"/>
              <w:left w:val="nil"/>
              <w:bottom w:val="nil"/>
              <w:right w:val="nil"/>
            </w:tcBorders>
            <w:shd w:val="clear" w:color="000000" w:fill="FFFFFF"/>
            <w:noWrap/>
            <w:vAlign w:val="bottom"/>
            <w:hideMark/>
          </w:tcPr>
          <w:p w14:paraId="088A2EF8"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Year T</w:t>
            </w:r>
          </w:p>
        </w:tc>
        <w:tc>
          <w:tcPr>
            <w:tcW w:w="420" w:type="pct"/>
            <w:tcBorders>
              <w:top w:val="nil"/>
              <w:left w:val="nil"/>
              <w:bottom w:val="nil"/>
              <w:right w:val="nil"/>
            </w:tcBorders>
            <w:shd w:val="clear" w:color="000000" w:fill="FFFFFF"/>
            <w:noWrap/>
            <w:vAlign w:val="bottom"/>
          </w:tcPr>
          <w:p w14:paraId="420F525A" w14:textId="06C0A107"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1.0</w:t>
            </w:r>
          </w:p>
        </w:tc>
        <w:tc>
          <w:tcPr>
            <w:tcW w:w="420" w:type="pct"/>
            <w:tcBorders>
              <w:top w:val="nil"/>
              <w:left w:val="nil"/>
              <w:bottom w:val="nil"/>
              <w:right w:val="nil"/>
            </w:tcBorders>
            <w:shd w:val="clear" w:color="000000" w:fill="FFFFFF"/>
            <w:noWrap/>
            <w:vAlign w:val="bottom"/>
          </w:tcPr>
          <w:p w14:paraId="60D71691" w14:textId="26EE3048"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1.0</w:t>
            </w:r>
          </w:p>
        </w:tc>
        <w:tc>
          <w:tcPr>
            <w:tcW w:w="420" w:type="pct"/>
            <w:tcBorders>
              <w:top w:val="nil"/>
              <w:left w:val="nil"/>
              <w:bottom w:val="nil"/>
              <w:right w:val="nil"/>
            </w:tcBorders>
            <w:shd w:val="clear" w:color="000000" w:fill="FFFFFF"/>
            <w:noWrap/>
            <w:vAlign w:val="bottom"/>
          </w:tcPr>
          <w:p w14:paraId="3689AAA5" w14:textId="1ABF107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1.0</w:t>
            </w:r>
          </w:p>
        </w:tc>
        <w:tc>
          <w:tcPr>
            <w:tcW w:w="420" w:type="pct"/>
            <w:tcBorders>
              <w:top w:val="nil"/>
              <w:left w:val="nil"/>
              <w:bottom w:val="nil"/>
              <w:right w:val="nil"/>
            </w:tcBorders>
            <w:shd w:val="clear" w:color="000000" w:fill="FFFFFF"/>
            <w:noWrap/>
            <w:vAlign w:val="bottom"/>
          </w:tcPr>
          <w:p w14:paraId="5A6439FB" w14:textId="2EE7D56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1.0</w:t>
            </w:r>
          </w:p>
        </w:tc>
        <w:tc>
          <w:tcPr>
            <w:tcW w:w="420" w:type="pct"/>
            <w:tcBorders>
              <w:top w:val="nil"/>
              <w:left w:val="nil"/>
              <w:bottom w:val="nil"/>
              <w:right w:val="nil"/>
            </w:tcBorders>
            <w:shd w:val="clear" w:color="000000" w:fill="FFFFFF"/>
            <w:noWrap/>
            <w:vAlign w:val="bottom"/>
          </w:tcPr>
          <w:p w14:paraId="52113B4F" w14:textId="0EF2123B"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1.0</w:t>
            </w:r>
          </w:p>
        </w:tc>
        <w:tc>
          <w:tcPr>
            <w:tcW w:w="420" w:type="pct"/>
            <w:tcBorders>
              <w:top w:val="nil"/>
              <w:left w:val="nil"/>
              <w:bottom w:val="nil"/>
              <w:right w:val="nil"/>
            </w:tcBorders>
            <w:shd w:val="clear" w:color="000000" w:fill="FFFFFF"/>
            <w:noWrap/>
            <w:vAlign w:val="bottom"/>
          </w:tcPr>
          <w:p w14:paraId="7A1D1977" w14:textId="77B21E0C"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1.0</w:t>
            </w:r>
          </w:p>
        </w:tc>
        <w:tc>
          <w:tcPr>
            <w:tcW w:w="420" w:type="pct"/>
            <w:tcBorders>
              <w:top w:val="nil"/>
              <w:left w:val="nil"/>
              <w:bottom w:val="nil"/>
              <w:right w:val="nil"/>
            </w:tcBorders>
            <w:shd w:val="clear" w:color="000000" w:fill="FFFFFF"/>
            <w:noWrap/>
            <w:vAlign w:val="bottom"/>
          </w:tcPr>
          <w:p w14:paraId="4966ED48" w14:textId="0737B08B"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1.0</w:t>
            </w:r>
          </w:p>
        </w:tc>
        <w:tc>
          <w:tcPr>
            <w:tcW w:w="420" w:type="pct"/>
            <w:tcBorders>
              <w:top w:val="nil"/>
              <w:left w:val="nil"/>
              <w:bottom w:val="nil"/>
              <w:right w:val="nil"/>
            </w:tcBorders>
            <w:shd w:val="clear" w:color="000000" w:fill="FFFFFF"/>
            <w:noWrap/>
            <w:vAlign w:val="bottom"/>
          </w:tcPr>
          <w:p w14:paraId="0CA9B129" w14:textId="7E7C737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1.0</w:t>
            </w:r>
          </w:p>
        </w:tc>
        <w:tc>
          <w:tcPr>
            <w:tcW w:w="420" w:type="pct"/>
            <w:tcBorders>
              <w:top w:val="nil"/>
              <w:left w:val="nil"/>
              <w:bottom w:val="nil"/>
              <w:right w:val="nil"/>
            </w:tcBorders>
            <w:shd w:val="clear" w:color="000000" w:fill="FFFFFF"/>
            <w:noWrap/>
            <w:vAlign w:val="bottom"/>
          </w:tcPr>
          <w:p w14:paraId="64FE28BD" w14:textId="0766E4E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1.0</w:t>
            </w:r>
          </w:p>
        </w:tc>
        <w:tc>
          <w:tcPr>
            <w:tcW w:w="420" w:type="pct"/>
            <w:tcBorders>
              <w:top w:val="nil"/>
              <w:left w:val="nil"/>
              <w:bottom w:val="nil"/>
              <w:right w:val="nil"/>
            </w:tcBorders>
            <w:shd w:val="clear" w:color="000000" w:fill="FFFFFF"/>
            <w:noWrap/>
            <w:vAlign w:val="bottom"/>
          </w:tcPr>
          <w:p w14:paraId="056DD95E" w14:textId="1167C317"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1.0</w:t>
            </w:r>
          </w:p>
        </w:tc>
      </w:tr>
      <w:tr w:rsidR="004463E3" w:rsidRPr="00BE1566" w14:paraId="15CA817B" w14:textId="77777777" w:rsidTr="00D96D89">
        <w:trPr>
          <w:trHeight w:val="315"/>
        </w:trPr>
        <w:tc>
          <w:tcPr>
            <w:tcW w:w="800" w:type="pct"/>
            <w:tcBorders>
              <w:top w:val="nil"/>
              <w:left w:val="nil"/>
              <w:bottom w:val="single" w:sz="4" w:space="0" w:color="auto"/>
              <w:right w:val="nil"/>
            </w:tcBorders>
            <w:shd w:val="clear" w:color="000000" w:fill="FFFFFF"/>
            <w:noWrap/>
            <w:vAlign w:val="bottom"/>
            <w:hideMark/>
          </w:tcPr>
          <w:p w14:paraId="320D4795"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deltaC baseline</w:t>
            </w:r>
          </w:p>
        </w:tc>
        <w:tc>
          <w:tcPr>
            <w:tcW w:w="420" w:type="pct"/>
            <w:tcBorders>
              <w:top w:val="nil"/>
              <w:left w:val="nil"/>
              <w:bottom w:val="single" w:sz="4" w:space="0" w:color="auto"/>
              <w:right w:val="nil"/>
            </w:tcBorders>
            <w:shd w:val="clear" w:color="000000" w:fill="FFFFFF"/>
            <w:noWrap/>
            <w:vAlign w:val="bottom"/>
          </w:tcPr>
          <w:p w14:paraId="14E2A608" w14:textId="54B40F0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-78,025.5</w:t>
            </w:r>
          </w:p>
        </w:tc>
        <w:tc>
          <w:tcPr>
            <w:tcW w:w="420" w:type="pct"/>
            <w:tcBorders>
              <w:top w:val="nil"/>
              <w:left w:val="nil"/>
              <w:bottom w:val="single" w:sz="4" w:space="0" w:color="auto"/>
              <w:right w:val="nil"/>
            </w:tcBorders>
            <w:shd w:val="clear" w:color="000000" w:fill="FFFFFF"/>
            <w:noWrap/>
            <w:vAlign w:val="bottom"/>
          </w:tcPr>
          <w:p w14:paraId="5608447E" w14:textId="1AB1C9A1"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single" w:sz="4" w:space="0" w:color="auto"/>
              <w:right w:val="nil"/>
            </w:tcBorders>
            <w:shd w:val="clear" w:color="000000" w:fill="FFFFFF"/>
            <w:noWrap/>
            <w:vAlign w:val="bottom"/>
          </w:tcPr>
          <w:p w14:paraId="16386979" w14:textId="3190D48B"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single" w:sz="4" w:space="0" w:color="auto"/>
              <w:right w:val="nil"/>
            </w:tcBorders>
            <w:shd w:val="clear" w:color="000000" w:fill="FFFFFF"/>
            <w:noWrap/>
            <w:vAlign w:val="bottom"/>
          </w:tcPr>
          <w:p w14:paraId="0D32F651" w14:textId="1C36B50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single" w:sz="4" w:space="0" w:color="auto"/>
              <w:right w:val="nil"/>
            </w:tcBorders>
            <w:shd w:val="clear" w:color="000000" w:fill="FFFFFF"/>
            <w:noWrap/>
            <w:vAlign w:val="bottom"/>
          </w:tcPr>
          <w:p w14:paraId="77202D1B" w14:textId="79CBDA41"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single" w:sz="4" w:space="0" w:color="auto"/>
              <w:right w:val="nil"/>
            </w:tcBorders>
            <w:shd w:val="clear" w:color="000000" w:fill="FFFFFF"/>
            <w:noWrap/>
            <w:vAlign w:val="bottom"/>
          </w:tcPr>
          <w:p w14:paraId="286F610B" w14:textId="1C80F477"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single" w:sz="4" w:space="0" w:color="auto"/>
              <w:right w:val="nil"/>
            </w:tcBorders>
            <w:shd w:val="clear" w:color="000000" w:fill="FFFFFF"/>
            <w:noWrap/>
            <w:vAlign w:val="bottom"/>
          </w:tcPr>
          <w:p w14:paraId="53EA9CC4" w14:textId="1A2F2EA8"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single" w:sz="4" w:space="0" w:color="auto"/>
              <w:right w:val="nil"/>
            </w:tcBorders>
            <w:shd w:val="clear" w:color="000000" w:fill="FFFFFF"/>
            <w:noWrap/>
            <w:vAlign w:val="bottom"/>
          </w:tcPr>
          <w:p w14:paraId="6A8CE6C3" w14:textId="1F1DAA11"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single" w:sz="4" w:space="0" w:color="auto"/>
              <w:right w:val="nil"/>
            </w:tcBorders>
            <w:shd w:val="clear" w:color="000000" w:fill="FFFFFF"/>
            <w:noWrap/>
            <w:vAlign w:val="bottom"/>
          </w:tcPr>
          <w:p w14:paraId="3A7DC5B2" w14:textId="50120925"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single" w:sz="4" w:space="0" w:color="auto"/>
              <w:right w:val="nil"/>
            </w:tcBorders>
            <w:shd w:val="clear" w:color="000000" w:fill="FFFFFF"/>
            <w:noWrap/>
            <w:vAlign w:val="bottom"/>
          </w:tcPr>
          <w:p w14:paraId="06160500" w14:textId="5EF5A868"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r>
      <w:tr w:rsidR="004463E3" w:rsidRPr="00BE1566" w14:paraId="6B842D54" w14:textId="77777777" w:rsidTr="00D96D89">
        <w:trPr>
          <w:trHeight w:val="285"/>
        </w:trPr>
        <w:tc>
          <w:tcPr>
            <w:tcW w:w="800" w:type="pct"/>
            <w:tcBorders>
              <w:top w:val="nil"/>
              <w:left w:val="nil"/>
              <w:bottom w:val="nil"/>
              <w:right w:val="nil"/>
            </w:tcBorders>
            <w:shd w:val="clear" w:color="auto" w:fill="auto"/>
            <w:noWrap/>
            <w:vAlign w:val="bottom"/>
            <w:hideMark/>
          </w:tcPr>
          <w:p w14:paraId="14D6132B" w14:textId="77777777" w:rsidR="004463E3" w:rsidRPr="00BE1566" w:rsidRDefault="004463E3" w:rsidP="004463E3">
            <w:pPr>
              <w:spacing w:after="0" w:line="240" w:lineRule="auto"/>
              <w:rPr>
                <w:rFonts w:ascii="Calibri" w:eastAsia="Times New Roman" w:hAnsi="Calibri" w:cs="Calibri"/>
                <w:b/>
                <w:bCs/>
                <w:color w:val="000000"/>
                <w:sz w:val="16"/>
                <w:szCs w:val="16"/>
              </w:rPr>
            </w:pPr>
            <w:r w:rsidRPr="00BE1566">
              <w:rPr>
                <w:rFonts w:ascii="Calibri" w:eastAsia="Times New Roman" w:hAnsi="Calibri" w:cs="Calibri"/>
                <w:b/>
                <w:bCs/>
                <w:color w:val="000000"/>
                <w:sz w:val="16"/>
                <w:szCs w:val="16"/>
              </w:rPr>
              <w:t>Project</w:t>
            </w:r>
          </w:p>
        </w:tc>
        <w:tc>
          <w:tcPr>
            <w:tcW w:w="420" w:type="pct"/>
            <w:tcBorders>
              <w:top w:val="nil"/>
              <w:left w:val="nil"/>
              <w:bottom w:val="nil"/>
              <w:right w:val="nil"/>
            </w:tcBorders>
            <w:shd w:val="clear" w:color="auto" w:fill="auto"/>
            <w:noWrap/>
            <w:vAlign w:val="bottom"/>
          </w:tcPr>
          <w:p w14:paraId="06067E72" w14:textId="77777777" w:rsidR="004463E3" w:rsidRPr="00B40C92" w:rsidRDefault="004463E3" w:rsidP="004463E3">
            <w:pPr>
              <w:spacing w:after="0" w:line="240" w:lineRule="auto"/>
              <w:rPr>
                <w:rFonts w:eastAsia="Times New Roman" w:cstheme="minorHAnsi"/>
                <w:sz w:val="16"/>
                <w:szCs w:val="16"/>
              </w:rPr>
            </w:pPr>
          </w:p>
        </w:tc>
        <w:tc>
          <w:tcPr>
            <w:tcW w:w="420" w:type="pct"/>
            <w:tcBorders>
              <w:top w:val="nil"/>
              <w:left w:val="nil"/>
              <w:bottom w:val="nil"/>
              <w:right w:val="nil"/>
            </w:tcBorders>
            <w:shd w:val="clear" w:color="auto" w:fill="auto"/>
            <w:noWrap/>
            <w:vAlign w:val="bottom"/>
          </w:tcPr>
          <w:p w14:paraId="422D7D22" w14:textId="77777777" w:rsidR="004463E3" w:rsidRPr="00B40C92" w:rsidRDefault="004463E3" w:rsidP="004463E3">
            <w:pPr>
              <w:spacing w:after="0" w:line="240" w:lineRule="auto"/>
              <w:rPr>
                <w:rFonts w:eastAsia="Times New Roman" w:cstheme="minorHAnsi"/>
                <w:sz w:val="16"/>
                <w:szCs w:val="16"/>
              </w:rPr>
            </w:pPr>
          </w:p>
        </w:tc>
        <w:tc>
          <w:tcPr>
            <w:tcW w:w="420" w:type="pct"/>
            <w:tcBorders>
              <w:top w:val="nil"/>
              <w:left w:val="nil"/>
              <w:bottom w:val="nil"/>
              <w:right w:val="nil"/>
            </w:tcBorders>
            <w:shd w:val="clear" w:color="auto" w:fill="auto"/>
            <w:noWrap/>
            <w:vAlign w:val="bottom"/>
          </w:tcPr>
          <w:p w14:paraId="66265126" w14:textId="77777777" w:rsidR="004463E3" w:rsidRPr="00B40C92" w:rsidRDefault="004463E3" w:rsidP="004463E3">
            <w:pPr>
              <w:spacing w:after="0" w:line="240" w:lineRule="auto"/>
              <w:rPr>
                <w:rFonts w:eastAsia="Times New Roman" w:cstheme="minorHAnsi"/>
                <w:sz w:val="16"/>
                <w:szCs w:val="16"/>
              </w:rPr>
            </w:pPr>
          </w:p>
        </w:tc>
        <w:tc>
          <w:tcPr>
            <w:tcW w:w="420" w:type="pct"/>
            <w:tcBorders>
              <w:top w:val="nil"/>
              <w:left w:val="nil"/>
              <w:bottom w:val="nil"/>
              <w:right w:val="nil"/>
            </w:tcBorders>
            <w:shd w:val="clear" w:color="auto" w:fill="auto"/>
            <w:noWrap/>
            <w:vAlign w:val="bottom"/>
          </w:tcPr>
          <w:p w14:paraId="670409CD" w14:textId="77777777" w:rsidR="004463E3" w:rsidRPr="00B40C92" w:rsidRDefault="004463E3" w:rsidP="004463E3">
            <w:pPr>
              <w:spacing w:after="0" w:line="240" w:lineRule="auto"/>
              <w:rPr>
                <w:rFonts w:eastAsia="Times New Roman" w:cstheme="minorHAnsi"/>
                <w:sz w:val="16"/>
                <w:szCs w:val="16"/>
              </w:rPr>
            </w:pPr>
          </w:p>
        </w:tc>
        <w:tc>
          <w:tcPr>
            <w:tcW w:w="420" w:type="pct"/>
            <w:tcBorders>
              <w:top w:val="nil"/>
              <w:left w:val="nil"/>
              <w:bottom w:val="nil"/>
              <w:right w:val="nil"/>
            </w:tcBorders>
            <w:shd w:val="clear" w:color="auto" w:fill="auto"/>
            <w:noWrap/>
            <w:vAlign w:val="bottom"/>
          </w:tcPr>
          <w:p w14:paraId="20F8E600" w14:textId="77777777" w:rsidR="004463E3" w:rsidRPr="00B40C92" w:rsidRDefault="004463E3" w:rsidP="004463E3">
            <w:pPr>
              <w:spacing w:after="0" w:line="240" w:lineRule="auto"/>
              <w:rPr>
                <w:rFonts w:eastAsia="Times New Roman" w:cstheme="minorHAnsi"/>
                <w:sz w:val="16"/>
                <w:szCs w:val="16"/>
              </w:rPr>
            </w:pPr>
          </w:p>
        </w:tc>
        <w:tc>
          <w:tcPr>
            <w:tcW w:w="420" w:type="pct"/>
            <w:tcBorders>
              <w:top w:val="nil"/>
              <w:left w:val="nil"/>
              <w:bottom w:val="nil"/>
              <w:right w:val="nil"/>
            </w:tcBorders>
            <w:shd w:val="clear" w:color="auto" w:fill="auto"/>
            <w:noWrap/>
            <w:vAlign w:val="bottom"/>
          </w:tcPr>
          <w:p w14:paraId="079C5064" w14:textId="77777777" w:rsidR="004463E3" w:rsidRPr="00B40C92" w:rsidRDefault="004463E3" w:rsidP="004463E3">
            <w:pPr>
              <w:spacing w:after="0" w:line="240" w:lineRule="auto"/>
              <w:rPr>
                <w:rFonts w:eastAsia="Times New Roman" w:cstheme="minorHAnsi"/>
                <w:sz w:val="16"/>
                <w:szCs w:val="16"/>
              </w:rPr>
            </w:pPr>
          </w:p>
        </w:tc>
        <w:tc>
          <w:tcPr>
            <w:tcW w:w="420" w:type="pct"/>
            <w:tcBorders>
              <w:top w:val="nil"/>
              <w:left w:val="nil"/>
              <w:bottom w:val="nil"/>
              <w:right w:val="nil"/>
            </w:tcBorders>
            <w:shd w:val="clear" w:color="auto" w:fill="auto"/>
            <w:noWrap/>
            <w:vAlign w:val="bottom"/>
          </w:tcPr>
          <w:p w14:paraId="12C4BD42" w14:textId="77777777" w:rsidR="004463E3" w:rsidRPr="00B40C92" w:rsidRDefault="004463E3" w:rsidP="004463E3">
            <w:pPr>
              <w:spacing w:after="0" w:line="240" w:lineRule="auto"/>
              <w:rPr>
                <w:rFonts w:eastAsia="Times New Roman" w:cstheme="minorHAnsi"/>
                <w:sz w:val="16"/>
                <w:szCs w:val="16"/>
              </w:rPr>
            </w:pPr>
          </w:p>
        </w:tc>
        <w:tc>
          <w:tcPr>
            <w:tcW w:w="420" w:type="pct"/>
            <w:tcBorders>
              <w:top w:val="nil"/>
              <w:left w:val="nil"/>
              <w:bottom w:val="nil"/>
              <w:right w:val="nil"/>
            </w:tcBorders>
            <w:shd w:val="clear" w:color="auto" w:fill="auto"/>
            <w:noWrap/>
            <w:vAlign w:val="bottom"/>
          </w:tcPr>
          <w:p w14:paraId="209D57E8" w14:textId="77777777" w:rsidR="004463E3" w:rsidRPr="00B40C92" w:rsidRDefault="004463E3" w:rsidP="004463E3">
            <w:pPr>
              <w:spacing w:after="0" w:line="240" w:lineRule="auto"/>
              <w:rPr>
                <w:rFonts w:eastAsia="Times New Roman" w:cstheme="minorHAnsi"/>
                <w:sz w:val="16"/>
                <w:szCs w:val="16"/>
              </w:rPr>
            </w:pPr>
          </w:p>
        </w:tc>
        <w:tc>
          <w:tcPr>
            <w:tcW w:w="420" w:type="pct"/>
            <w:tcBorders>
              <w:top w:val="nil"/>
              <w:left w:val="nil"/>
              <w:bottom w:val="nil"/>
              <w:right w:val="nil"/>
            </w:tcBorders>
            <w:shd w:val="clear" w:color="auto" w:fill="auto"/>
            <w:noWrap/>
            <w:vAlign w:val="bottom"/>
          </w:tcPr>
          <w:p w14:paraId="4F422B55" w14:textId="77777777" w:rsidR="004463E3" w:rsidRPr="00B40C92" w:rsidRDefault="004463E3" w:rsidP="004463E3">
            <w:pPr>
              <w:spacing w:after="0" w:line="240" w:lineRule="auto"/>
              <w:rPr>
                <w:rFonts w:eastAsia="Times New Roman" w:cstheme="minorHAnsi"/>
                <w:sz w:val="16"/>
                <w:szCs w:val="16"/>
              </w:rPr>
            </w:pPr>
          </w:p>
        </w:tc>
        <w:tc>
          <w:tcPr>
            <w:tcW w:w="420" w:type="pct"/>
            <w:tcBorders>
              <w:top w:val="nil"/>
              <w:left w:val="nil"/>
              <w:bottom w:val="nil"/>
              <w:right w:val="nil"/>
            </w:tcBorders>
            <w:shd w:val="clear" w:color="auto" w:fill="auto"/>
            <w:noWrap/>
            <w:vAlign w:val="bottom"/>
          </w:tcPr>
          <w:p w14:paraId="388543BB" w14:textId="77777777" w:rsidR="004463E3" w:rsidRPr="00B40C92" w:rsidRDefault="004463E3" w:rsidP="004463E3">
            <w:pPr>
              <w:spacing w:after="0" w:line="240" w:lineRule="auto"/>
              <w:rPr>
                <w:rFonts w:eastAsia="Times New Roman" w:cstheme="minorHAnsi"/>
                <w:sz w:val="16"/>
                <w:szCs w:val="16"/>
              </w:rPr>
            </w:pPr>
          </w:p>
        </w:tc>
      </w:tr>
      <w:tr w:rsidR="004463E3" w:rsidRPr="00BE1566" w14:paraId="49E241D5" w14:textId="77777777" w:rsidTr="00D96D89">
        <w:trPr>
          <w:trHeight w:val="315"/>
        </w:trPr>
        <w:tc>
          <w:tcPr>
            <w:tcW w:w="800" w:type="pct"/>
            <w:tcBorders>
              <w:top w:val="nil"/>
              <w:left w:val="nil"/>
              <w:bottom w:val="nil"/>
              <w:right w:val="nil"/>
            </w:tcBorders>
            <w:shd w:val="clear" w:color="000000" w:fill="FDE9D9"/>
            <w:noWrap/>
            <w:vAlign w:val="bottom"/>
            <w:hideMark/>
          </w:tcPr>
          <w:p w14:paraId="48CBEBE5"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Live Tree CO2 Project</w:t>
            </w:r>
          </w:p>
        </w:tc>
        <w:tc>
          <w:tcPr>
            <w:tcW w:w="420" w:type="pct"/>
            <w:tcBorders>
              <w:top w:val="nil"/>
              <w:left w:val="nil"/>
              <w:bottom w:val="nil"/>
              <w:right w:val="nil"/>
            </w:tcBorders>
            <w:shd w:val="clear" w:color="000000" w:fill="FDE9D9"/>
            <w:noWrap/>
            <w:vAlign w:val="bottom"/>
          </w:tcPr>
          <w:p w14:paraId="3109FF89" w14:textId="114A811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2,403,762.1</w:t>
            </w:r>
          </w:p>
        </w:tc>
        <w:tc>
          <w:tcPr>
            <w:tcW w:w="420" w:type="pct"/>
            <w:tcBorders>
              <w:top w:val="nil"/>
              <w:left w:val="nil"/>
              <w:bottom w:val="nil"/>
              <w:right w:val="nil"/>
            </w:tcBorders>
            <w:shd w:val="clear" w:color="000000" w:fill="FDE9D9"/>
            <w:noWrap/>
            <w:vAlign w:val="bottom"/>
          </w:tcPr>
          <w:p w14:paraId="679D019C" w14:textId="7246102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2,441,904.9</w:t>
            </w:r>
          </w:p>
        </w:tc>
        <w:tc>
          <w:tcPr>
            <w:tcW w:w="420" w:type="pct"/>
            <w:tcBorders>
              <w:top w:val="nil"/>
              <w:left w:val="nil"/>
              <w:bottom w:val="nil"/>
              <w:right w:val="nil"/>
            </w:tcBorders>
            <w:shd w:val="clear" w:color="000000" w:fill="FDE9D9"/>
            <w:noWrap/>
            <w:vAlign w:val="bottom"/>
          </w:tcPr>
          <w:p w14:paraId="0D53AB85" w14:textId="04E5F9F1"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2,480,047.8</w:t>
            </w:r>
          </w:p>
        </w:tc>
        <w:tc>
          <w:tcPr>
            <w:tcW w:w="420" w:type="pct"/>
            <w:tcBorders>
              <w:top w:val="nil"/>
              <w:left w:val="nil"/>
              <w:bottom w:val="nil"/>
              <w:right w:val="nil"/>
            </w:tcBorders>
            <w:shd w:val="clear" w:color="000000" w:fill="FDE9D9"/>
            <w:noWrap/>
            <w:vAlign w:val="bottom"/>
          </w:tcPr>
          <w:p w14:paraId="5DE7CBBB" w14:textId="05B24355"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2,518,190.6</w:t>
            </w:r>
          </w:p>
        </w:tc>
        <w:tc>
          <w:tcPr>
            <w:tcW w:w="420" w:type="pct"/>
            <w:tcBorders>
              <w:top w:val="nil"/>
              <w:left w:val="nil"/>
              <w:bottom w:val="nil"/>
              <w:right w:val="nil"/>
            </w:tcBorders>
            <w:shd w:val="clear" w:color="000000" w:fill="FDE9D9"/>
            <w:noWrap/>
            <w:vAlign w:val="bottom"/>
          </w:tcPr>
          <w:p w14:paraId="207FAA8A" w14:textId="22CDD0DF"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2,556,333.5</w:t>
            </w:r>
          </w:p>
        </w:tc>
        <w:tc>
          <w:tcPr>
            <w:tcW w:w="420" w:type="pct"/>
            <w:tcBorders>
              <w:top w:val="nil"/>
              <w:left w:val="nil"/>
              <w:bottom w:val="nil"/>
              <w:right w:val="nil"/>
            </w:tcBorders>
            <w:shd w:val="clear" w:color="000000" w:fill="FDE9D9"/>
            <w:noWrap/>
            <w:vAlign w:val="bottom"/>
          </w:tcPr>
          <w:p w14:paraId="5CBE2F4C" w14:textId="4CD2CF4E"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2,492,220.5</w:t>
            </w:r>
          </w:p>
        </w:tc>
        <w:tc>
          <w:tcPr>
            <w:tcW w:w="420" w:type="pct"/>
            <w:tcBorders>
              <w:top w:val="nil"/>
              <w:left w:val="nil"/>
              <w:bottom w:val="nil"/>
              <w:right w:val="nil"/>
            </w:tcBorders>
            <w:shd w:val="clear" w:color="000000" w:fill="FDE9D9"/>
            <w:noWrap/>
            <w:vAlign w:val="bottom"/>
          </w:tcPr>
          <w:p w14:paraId="0729552C" w14:textId="4E67CA7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2,529,564.3</w:t>
            </w:r>
          </w:p>
        </w:tc>
        <w:tc>
          <w:tcPr>
            <w:tcW w:w="420" w:type="pct"/>
            <w:tcBorders>
              <w:top w:val="nil"/>
              <w:left w:val="nil"/>
              <w:bottom w:val="nil"/>
              <w:right w:val="nil"/>
            </w:tcBorders>
            <w:shd w:val="clear" w:color="000000" w:fill="FDE9D9"/>
            <w:noWrap/>
            <w:vAlign w:val="bottom"/>
          </w:tcPr>
          <w:p w14:paraId="57B5354D" w14:textId="7ECE022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2,566,908.0</w:t>
            </w:r>
          </w:p>
        </w:tc>
        <w:tc>
          <w:tcPr>
            <w:tcW w:w="420" w:type="pct"/>
            <w:tcBorders>
              <w:top w:val="nil"/>
              <w:left w:val="nil"/>
              <w:bottom w:val="nil"/>
              <w:right w:val="nil"/>
            </w:tcBorders>
            <w:shd w:val="clear" w:color="000000" w:fill="FDE9D9"/>
            <w:noWrap/>
            <w:vAlign w:val="bottom"/>
          </w:tcPr>
          <w:p w14:paraId="5DCAAD47" w14:textId="403484DB"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2,604,251.8</w:t>
            </w:r>
          </w:p>
        </w:tc>
        <w:tc>
          <w:tcPr>
            <w:tcW w:w="420" w:type="pct"/>
            <w:tcBorders>
              <w:top w:val="nil"/>
              <w:left w:val="nil"/>
              <w:bottom w:val="nil"/>
              <w:right w:val="nil"/>
            </w:tcBorders>
            <w:shd w:val="clear" w:color="000000" w:fill="FDE9D9"/>
            <w:noWrap/>
            <w:vAlign w:val="bottom"/>
          </w:tcPr>
          <w:p w14:paraId="4366629F" w14:textId="39D98985"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2,641,595.5</w:t>
            </w:r>
          </w:p>
        </w:tc>
      </w:tr>
      <w:tr w:rsidR="004463E3" w:rsidRPr="00BE1566" w14:paraId="5387A515" w14:textId="77777777" w:rsidTr="00D96D89">
        <w:trPr>
          <w:trHeight w:val="315"/>
        </w:trPr>
        <w:tc>
          <w:tcPr>
            <w:tcW w:w="800" w:type="pct"/>
            <w:tcBorders>
              <w:top w:val="nil"/>
              <w:left w:val="nil"/>
              <w:bottom w:val="nil"/>
              <w:right w:val="nil"/>
            </w:tcBorders>
            <w:shd w:val="clear" w:color="000000" w:fill="FDE9D9"/>
            <w:noWrap/>
            <w:vAlign w:val="bottom"/>
            <w:hideMark/>
          </w:tcPr>
          <w:p w14:paraId="08045A94"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Standing dead CO2 Project</w:t>
            </w:r>
          </w:p>
        </w:tc>
        <w:tc>
          <w:tcPr>
            <w:tcW w:w="420" w:type="pct"/>
            <w:tcBorders>
              <w:top w:val="nil"/>
              <w:left w:val="nil"/>
              <w:bottom w:val="nil"/>
              <w:right w:val="nil"/>
            </w:tcBorders>
            <w:shd w:val="clear" w:color="000000" w:fill="FDE9D9"/>
            <w:noWrap/>
            <w:vAlign w:val="bottom"/>
          </w:tcPr>
          <w:p w14:paraId="23415483" w14:textId="697D837D"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44,093.9</w:t>
            </w:r>
          </w:p>
        </w:tc>
        <w:tc>
          <w:tcPr>
            <w:tcW w:w="420" w:type="pct"/>
            <w:tcBorders>
              <w:top w:val="nil"/>
              <w:left w:val="nil"/>
              <w:bottom w:val="nil"/>
              <w:right w:val="nil"/>
            </w:tcBorders>
            <w:shd w:val="clear" w:color="000000" w:fill="FDE9D9"/>
            <w:noWrap/>
            <w:vAlign w:val="bottom"/>
          </w:tcPr>
          <w:p w14:paraId="1C53DDF0" w14:textId="0F2A39E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44,093.9</w:t>
            </w:r>
          </w:p>
        </w:tc>
        <w:tc>
          <w:tcPr>
            <w:tcW w:w="420" w:type="pct"/>
            <w:tcBorders>
              <w:top w:val="nil"/>
              <w:left w:val="nil"/>
              <w:bottom w:val="nil"/>
              <w:right w:val="nil"/>
            </w:tcBorders>
            <w:shd w:val="clear" w:color="000000" w:fill="FDE9D9"/>
            <w:noWrap/>
            <w:vAlign w:val="bottom"/>
          </w:tcPr>
          <w:p w14:paraId="58760A71" w14:textId="61FB8D62"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44,093.9</w:t>
            </w:r>
          </w:p>
        </w:tc>
        <w:tc>
          <w:tcPr>
            <w:tcW w:w="420" w:type="pct"/>
            <w:tcBorders>
              <w:top w:val="nil"/>
              <w:left w:val="nil"/>
              <w:bottom w:val="nil"/>
              <w:right w:val="nil"/>
            </w:tcBorders>
            <w:shd w:val="clear" w:color="000000" w:fill="FDE9D9"/>
            <w:noWrap/>
            <w:vAlign w:val="bottom"/>
          </w:tcPr>
          <w:p w14:paraId="437B6B1D" w14:textId="0A6BD33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44,093.9</w:t>
            </w:r>
          </w:p>
        </w:tc>
        <w:tc>
          <w:tcPr>
            <w:tcW w:w="420" w:type="pct"/>
            <w:tcBorders>
              <w:top w:val="nil"/>
              <w:left w:val="nil"/>
              <w:bottom w:val="nil"/>
              <w:right w:val="nil"/>
            </w:tcBorders>
            <w:shd w:val="clear" w:color="000000" w:fill="FDE9D9"/>
            <w:noWrap/>
            <w:vAlign w:val="bottom"/>
          </w:tcPr>
          <w:p w14:paraId="70C91E1C" w14:textId="65931DC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44,093.9</w:t>
            </w:r>
          </w:p>
        </w:tc>
        <w:tc>
          <w:tcPr>
            <w:tcW w:w="420" w:type="pct"/>
            <w:tcBorders>
              <w:top w:val="nil"/>
              <w:left w:val="nil"/>
              <w:bottom w:val="nil"/>
              <w:right w:val="nil"/>
            </w:tcBorders>
            <w:shd w:val="clear" w:color="000000" w:fill="FDE9D9"/>
            <w:noWrap/>
            <w:vAlign w:val="bottom"/>
          </w:tcPr>
          <w:p w14:paraId="6E950B8F" w14:textId="57E94C1B"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44,093.9</w:t>
            </w:r>
          </w:p>
        </w:tc>
        <w:tc>
          <w:tcPr>
            <w:tcW w:w="420" w:type="pct"/>
            <w:tcBorders>
              <w:top w:val="nil"/>
              <w:left w:val="nil"/>
              <w:bottom w:val="nil"/>
              <w:right w:val="nil"/>
            </w:tcBorders>
            <w:shd w:val="clear" w:color="000000" w:fill="FDE9D9"/>
            <w:noWrap/>
            <w:vAlign w:val="bottom"/>
          </w:tcPr>
          <w:p w14:paraId="66E962A9" w14:textId="2C197D3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44,093.9</w:t>
            </w:r>
          </w:p>
        </w:tc>
        <w:tc>
          <w:tcPr>
            <w:tcW w:w="420" w:type="pct"/>
            <w:tcBorders>
              <w:top w:val="nil"/>
              <w:left w:val="nil"/>
              <w:bottom w:val="nil"/>
              <w:right w:val="nil"/>
            </w:tcBorders>
            <w:shd w:val="clear" w:color="000000" w:fill="FDE9D9"/>
            <w:noWrap/>
            <w:vAlign w:val="bottom"/>
          </w:tcPr>
          <w:p w14:paraId="227AD506" w14:textId="68E5F69B"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44,093.9</w:t>
            </w:r>
          </w:p>
        </w:tc>
        <w:tc>
          <w:tcPr>
            <w:tcW w:w="420" w:type="pct"/>
            <w:tcBorders>
              <w:top w:val="nil"/>
              <w:left w:val="nil"/>
              <w:bottom w:val="nil"/>
              <w:right w:val="nil"/>
            </w:tcBorders>
            <w:shd w:val="clear" w:color="000000" w:fill="FDE9D9"/>
            <w:noWrap/>
            <w:vAlign w:val="bottom"/>
          </w:tcPr>
          <w:p w14:paraId="5D4B02AC" w14:textId="59327EA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44,093.9</w:t>
            </w:r>
          </w:p>
        </w:tc>
        <w:tc>
          <w:tcPr>
            <w:tcW w:w="420" w:type="pct"/>
            <w:tcBorders>
              <w:top w:val="nil"/>
              <w:left w:val="nil"/>
              <w:bottom w:val="nil"/>
              <w:right w:val="nil"/>
            </w:tcBorders>
            <w:shd w:val="clear" w:color="000000" w:fill="FDE9D9"/>
            <w:noWrap/>
            <w:vAlign w:val="bottom"/>
          </w:tcPr>
          <w:p w14:paraId="21B262DE" w14:textId="0131F7E2"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44,093.9</w:t>
            </w:r>
          </w:p>
        </w:tc>
      </w:tr>
      <w:tr w:rsidR="004463E3" w:rsidRPr="00BE1566" w14:paraId="3310A74D" w14:textId="77777777" w:rsidTr="00D96D89">
        <w:trPr>
          <w:trHeight w:val="285"/>
        </w:trPr>
        <w:tc>
          <w:tcPr>
            <w:tcW w:w="800" w:type="pct"/>
            <w:tcBorders>
              <w:top w:val="nil"/>
              <w:left w:val="nil"/>
              <w:bottom w:val="nil"/>
              <w:right w:val="nil"/>
            </w:tcBorders>
            <w:shd w:val="clear" w:color="000000" w:fill="FDE9D9"/>
            <w:noWrap/>
            <w:vAlign w:val="bottom"/>
            <w:hideMark/>
          </w:tcPr>
          <w:p w14:paraId="15D4E695"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Greenhouse gas emission from logging slash burning</w:t>
            </w:r>
          </w:p>
        </w:tc>
        <w:tc>
          <w:tcPr>
            <w:tcW w:w="420" w:type="pct"/>
            <w:tcBorders>
              <w:top w:val="nil"/>
              <w:left w:val="nil"/>
              <w:bottom w:val="nil"/>
              <w:right w:val="nil"/>
            </w:tcBorders>
            <w:shd w:val="clear" w:color="000000" w:fill="FDE9D9"/>
            <w:noWrap/>
            <w:vAlign w:val="bottom"/>
          </w:tcPr>
          <w:p w14:paraId="18F933FB" w14:textId="74FF4E7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2B4BE5AC" w14:textId="01717836"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19B6C7E3" w14:textId="791D53F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141EFF1F" w14:textId="752ABB8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042E0FD2" w14:textId="0368905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7621B0AB" w14:textId="5D764E4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058397F8" w14:textId="1EA57FC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2469C4B6" w14:textId="4E24303D"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08AC35C4" w14:textId="5D5B756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519743CB" w14:textId="18B45ADF"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r>
      <w:tr w:rsidR="004463E3" w:rsidRPr="00BE1566" w14:paraId="4CB31E2D" w14:textId="77777777" w:rsidTr="00D96D89">
        <w:trPr>
          <w:trHeight w:val="315"/>
        </w:trPr>
        <w:tc>
          <w:tcPr>
            <w:tcW w:w="800" w:type="pct"/>
            <w:tcBorders>
              <w:top w:val="nil"/>
              <w:left w:val="nil"/>
              <w:bottom w:val="nil"/>
              <w:right w:val="nil"/>
            </w:tcBorders>
            <w:shd w:val="clear" w:color="000000" w:fill="FDE9D9"/>
            <w:noWrap/>
            <w:vAlign w:val="bottom"/>
            <w:hideMark/>
          </w:tcPr>
          <w:p w14:paraId="20EF05AC"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HWP Project</w:t>
            </w:r>
          </w:p>
        </w:tc>
        <w:tc>
          <w:tcPr>
            <w:tcW w:w="420" w:type="pct"/>
            <w:tcBorders>
              <w:top w:val="nil"/>
              <w:left w:val="nil"/>
              <w:bottom w:val="nil"/>
              <w:right w:val="nil"/>
            </w:tcBorders>
            <w:shd w:val="clear" w:color="000000" w:fill="FDE9D9"/>
            <w:noWrap/>
            <w:vAlign w:val="bottom"/>
          </w:tcPr>
          <w:p w14:paraId="1702C1C0" w14:textId="5A0EDE0C"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5FCFAE0D" w14:textId="076965AE"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3D55179E" w14:textId="716E663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0477DBA6" w14:textId="3354AABE"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05321B37" w14:textId="5227159C"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14,520.0</w:t>
            </w:r>
          </w:p>
        </w:tc>
        <w:tc>
          <w:tcPr>
            <w:tcW w:w="420" w:type="pct"/>
            <w:tcBorders>
              <w:top w:val="nil"/>
              <w:left w:val="nil"/>
              <w:bottom w:val="nil"/>
              <w:right w:val="nil"/>
            </w:tcBorders>
            <w:shd w:val="clear" w:color="000000" w:fill="FDE9D9"/>
            <w:noWrap/>
            <w:vAlign w:val="bottom"/>
          </w:tcPr>
          <w:p w14:paraId="6E4AD163" w14:textId="4074F2A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474FBCF3" w14:textId="618E3A4C"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59108507" w14:textId="285F6DF2"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69CC33B5" w14:textId="7009ABD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DE9D9"/>
            <w:noWrap/>
            <w:vAlign w:val="bottom"/>
          </w:tcPr>
          <w:p w14:paraId="59E8A29C" w14:textId="3E112EAB"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r>
      <w:tr w:rsidR="004463E3" w:rsidRPr="00BE1566" w14:paraId="421B4D18" w14:textId="77777777" w:rsidTr="00D96D89">
        <w:trPr>
          <w:trHeight w:val="285"/>
        </w:trPr>
        <w:tc>
          <w:tcPr>
            <w:tcW w:w="800" w:type="pct"/>
            <w:tcBorders>
              <w:top w:val="nil"/>
              <w:left w:val="nil"/>
              <w:bottom w:val="nil"/>
              <w:right w:val="nil"/>
            </w:tcBorders>
            <w:shd w:val="clear" w:color="auto" w:fill="auto"/>
            <w:noWrap/>
            <w:vAlign w:val="bottom"/>
            <w:hideMark/>
          </w:tcPr>
          <w:p w14:paraId="0E998695"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sum stocks</w:t>
            </w:r>
          </w:p>
        </w:tc>
        <w:tc>
          <w:tcPr>
            <w:tcW w:w="420" w:type="pct"/>
            <w:tcBorders>
              <w:top w:val="nil"/>
              <w:left w:val="nil"/>
              <w:bottom w:val="nil"/>
              <w:right w:val="nil"/>
            </w:tcBorders>
            <w:shd w:val="clear" w:color="auto" w:fill="auto"/>
            <w:noWrap/>
            <w:vAlign w:val="bottom"/>
          </w:tcPr>
          <w:p w14:paraId="6F81BFF0" w14:textId="3438236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2,484,064.4</w:t>
            </w:r>
          </w:p>
        </w:tc>
        <w:tc>
          <w:tcPr>
            <w:tcW w:w="420" w:type="pct"/>
            <w:tcBorders>
              <w:top w:val="nil"/>
              <w:left w:val="nil"/>
              <w:bottom w:val="nil"/>
              <w:right w:val="nil"/>
            </w:tcBorders>
            <w:shd w:val="clear" w:color="auto" w:fill="auto"/>
            <w:noWrap/>
            <w:vAlign w:val="bottom"/>
          </w:tcPr>
          <w:p w14:paraId="5FAD5837" w14:textId="68B1D7C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2,522,207.2</w:t>
            </w:r>
          </w:p>
        </w:tc>
        <w:tc>
          <w:tcPr>
            <w:tcW w:w="420" w:type="pct"/>
            <w:tcBorders>
              <w:top w:val="nil"/>
              <w:left w:val="nil"/>
              <w:bottom w:val="nil"/>
              <w:right w:val="nil"/>
            </w:tcBorders>
            <w:shd w:val="clear" w:color="auto" w:fill="auto"/>
            <w:noWrap/>
            <w:vAlign w:val="bottom"/>
          </w:tcPr>
          <w:p w14:paraId="181E23E7" w14:textId="09AF5565"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2,560,350.1</w:t>
            </w:r>
          </w:p>
        </w:tc>
        <w:tc>
          <w:tcPr>
            <w:tcW w:w="420" w:type="pct"/>
            <w:tcBorders>
              <w:top w:val="nil"/>
              <w:left w:val="nil"/>
              <w:bottom w:val="nil"/>
              <w:right w:val="nil"/>
            </w:tcBorders>
            <w:shd w:val="clear" w:color="auto" w:fill="auto"/>
            <w:noWrap/>
            <w:vAlign w:val="bottom"/>
          </w:tcPr>
          <w:p w14:paraId="57541A4D" w14:textId="266BB958"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2,598,492.9</w:t>
            </w:r>
          </w:p>
        </w:tc>
        <w:tc>
          <w:tcPr>
            <w:tcW w:w="420" w:type="pct"/>
            <w:tcBorders>
              <w:top w:val="nil"/>
              <w:left w:val="nil"/>
              <w:bottom w:val="nil"/>
              <w:right w:val="nil"/>
            </w:tcBorders>
            <w:shd w:val="clear" w:color="auto" w:fill="auto"/>
            <w:noWrap/>
            <w:vAlign w:val="bottom"/>
          </w:tcPr>
          <w:p w14:paraId="5081DD74" w14:textId="0DB21A8C"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2,651,155.7</w:t>
            </w:r>
          </w:p>
        </w:tc>
        <w:tc>
          <w:tcPr>
            <w:tcW w:w="420" w:type="pct"/>
            <w:tcBorders>
              <w:top w:val="nil"/>
              <w:left w:val="nil"/>
              <w:bottom w:val="nil"/>
              <w:right w:val="nil"/>
            </w:tcBorders>
            <w:shd w:val="clear" w:color="auto" w:fill="auto"/>
            <w:noWrap/>
            <w:vAlign w:val="bottom"/>
          </w:tcPr>
          <w:p w14:paraId="2119910C" w14:textId="04B11B78"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2,587,042.8</w:t>
            </w:r>
          </w:p>
        </w:tc>
        <w:tc>
          <w:tcPr>
            <w:tcW w:w="420" w:type="pct"/>
            <w:tcBorders>
              <w:top w:val="nil"/>
              <w:left w:val="nil"/>
              <w:bottom w:val="nil"/>
              <w:right w:val="nil"/>
            </w:tcBorders>
            <w:shd w:val="clear" w:color="auto" w:fill="auto"/>
            <w:noWrap/>
            <w:vAlign w:val="bottom"/>
          </w:tcPr>
          <w:p w14:paraId="6CDE2E08" w14:textId="19777D5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2,624,386.6</w:t>
            </w:r>
          </w:p>
        </w:tc>
        <w:tc>
          <w:tcPr>
            <w:tcW w:w="420" w:type="pct"/>
            <w:tcBorders>
              <w:top w:val="nil"/>
              <w:left w:val="nil"/>
              <w:bottom w:val="nil"/>
              <w:right w:val="nil"/>
            </w:tcBorders>
            <w:shd w:val="clear" w:color="auto" w:fill="auto"/>
            <w:noWrap/>
            <w:vAlign w:val="bottom"/>
          </w:tcPr>
          <w:p w14:paraId="2298DD59" w14:textId="180F8B82"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2,661,730.3</w:t>
            </w:r>
          </w:p>
        </w:tc>
        <w:tc>
          <w:tcPr>
            <w:tcW w:w="420" w:type="pct"/>
            <w:tcBorders>
              <w:top w:val="nil"/>
              <w:left w:val="nil"/>
              <w:bottom w:val="nil"/>
              <w:right w:val="nil"/>
            </w:tcBorders>
            <w:shd w:val="clear" w:color="auto" w:fill="auto"/>
            <w:noWrap/>
            <w:vAlign w:val="bottom"/>
          </w:tcPr>
          <w:p w14:paraId="5D705D4C" w14:textId="2767B01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2,699,074.1</w:t>
            </w:r>
          </w:p>
        </w:tc>
        <w:tc>
          <w:tcPr>
            <w:tcW w:w="420" w:type="pct"/>
            <w:tcBorders>
              <w:top w:val="nil"/>
              <w:left w:val="nil"/>
              <w:bottom w:val="nil"/>
              <w:right w:val="nil"/>
            </w:tcBorders>
            <w:shd w:val="clear" w:color="auto" w:fill="auto"/>
            <w:noWrap/>
            <w:vAlign w:val="bottom"/>
          </w:tcPr>
          <w:p w14:paraId="3AB80EC4" w14:textId="4FDB9FEC"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2,736,417.8</w:t>
            </w:r>
          </w:p>
        </w:tc>
      </w:tr>
      <w:tr w:rsidR="004463E3" w:rsidRPr="00BE1566" w14:paraId="5FD1BAAB" w14:textId="77777777" w:rsidTr="00D96D89">
        <w:trPr>
          <w:trHeight w:val="315"/>
        </w:trPr>
        <w:tc>
          <w:tcPr>
            <w:tcW w:w="800" w:type="pct"/>
            <w:tcBorders>
              <w:top w:val="nil"/>
              <w:left w:val="nil"/>
              <w:bottom w:val="single" w:sz="4" w:space="0" w:color="auto"/>
              <w:right w:val="nil"/>
            </w:tcBorders>
            <w:shd w:val="clear" w:color="000000" w:fill="FFFFFF"/>
            <w:noWrap/>
            <w:vAlign w:val="bottom"/>
            <w:hideMark/>
          </w:tcPr>
          <w:p w14:paraId="2C696E08"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deltaC project</w:t>
            </w:r>
          </w:p>
        </w:tc>
        <w:tc>
          <w:tcPr>
            <w:tcW w:w="420" w:type="pct"/>
            <w:tcBorders>
              <w:top w:val="nil"/>
              <w:left w:val="nil"/>
              <w:bottom w:val="single" w:sz="4" w:space="0" w:color="auto"/>
              <w:right w:val="nil"/>
            </w:tcBorders>
            <w:shd w:val="clear" w:color="000000" w:fill="FFFFFF"/>
            <w:noWrap/>
            <w:vAlign w:val="bottom"/>
          </w:tcPr>
          <w:p w14:paraId="56ACE26C" w14:textId="37930FB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-55,870.7</w:t>
            </w:r>
          </w:p>
        </w:tc>
        <w:tc>
          <w:tcPr>
            <w:tcW w:w="420" w:type="pct"/>
            <w:tcBorders>
              <w:top w:val="nil"/>
              <w:left w:val="nil"/>
              <w:bottom w:val="single" w:sz="4" w:space="0" w:color="auto"/>
              <w:right w:val="nil"/>
            </w:tcBorders>
            <w:shd w:val="clear" w:color="000000" w:fill="FFFFFF"/>
            <w:noWrap/>
            <w:vAlign w:val="bottom"/>
          </w:tcPr>
          <w:p w14:paraId="4177252C" w14:textId="1FCE469B"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38,142.9</w:t>
            </w:r>
          </w:p>
        </w:tc>
        <w:tc>
          <w:tcPr>
            <w:tcW w:w="420" w:type="pct"/>
            <w:tcBorders>
              <w:top w:val="nil"/>
              <w:left w:val="nil"/>
              <w:bottom w:val="single" w:sz="4" w:space="0" w:color="auto"/>
              <w:right w:val="nil"/>
            </w:tcBorders>
            <w:shd w:val="clear" w:color="000000" w:fill="FFFFFF"/>
            <w:noWrap/>
            <w:vAlign w:val="bottom"/>
          </w:tcPr>
          <w:p w14:paraId="12D9DDF5" w14:textId="47777675"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38,142.9</w:t>
            </w:r>
          </w:p>
        </w:tc>
        <w:tc>
          <w:tcPr>
            <w:tcW w:w="420" w:type="pct"/>
            <w:tcBorders>
              <w:top w:val="nil"/>
              <w:left w:val="nil"/>
              <w:bottom w:val="single" w:sz="4" w:space="0" w:color="auto"/>
              <w:right w:val="nil"/>
            </w:tcBorders>
            <w:shd w:val="clear" w:color="000000" w:fill="FFFFFF"/>
            <w:noWrap/>
            <w:vAlign w:val="bottom"/>
          </w:tcPr>
          <w:p w14:paraId="4B24B2BB" w14:textId="4D0851A7"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38,142.9</w:t>
            </w:r>
          </w:p>
        </w:tc>
        <w:tc>
          <w:tcPr>
            <w:tcW w:w="420" w:type="pct"/>
            <w:tcBorders>
              <w:top w:val="nil"/>
              <w:left w:val="nil"/>
              <w:bottom w:val="single" w:sz="4" w:space="0" w:color="auto"/>
              <w:right w:val="nil"/>
            </w:tcBorders>
            <w:shd w:val="clear" w:color="000000" w:fill="FFFFFF"/>
            <w:noWrap/>
            <w:vAlign w:val="bottom"/>
          </w:tcPr>
          <w:p w14:paraId="59E988A6" w14:textId="533143C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52,662.8</w:t>
            </w:r>
          </w:p>
        </w:tc>
        <w:tc>
          <w:tcPr>
            <w:tcW w:w="420" w:type="pct"/>
            <w:tcBorders>
              <w:top w:val="nil"/>
              <w:left w:val="nil"/>
              <w:bottom w:val="single" w:sz="4" w:space="0" w:color="auto"/>
              <w:right w:val="nil"/>
            </w:tcBorders>
            <w:shd w:val="clear" w:color="000000" w:fill="FFFFFF"/>
            <w:noWrap/>
            <w:vAlign w:val="bottom"/>
          </w:tcPr>
          <w:p w14:paraId="6F2C248A" w14:textId="240196B6"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-64,112.9</w:t>
            </w:r>
          </w:p>
        </w:tc>
        <w:tc>
          <w:tcPr>
            <w:tcW w:w="420" w:type="pct"/>
            <w:tcBorders>
              <w:top w:val="nil"/>
              <w:left w:val="nil"/>
              <w:bottom w:val="single" w:sz="4" w:space="0" w:color="auto"/>
              <w:right w:val="nil"/>
            </w:tcBorders>
            <w:shd w:val="clear" w:color="000000" w:fill="FFFFFF"/>
            <w:noWrap/>
            <w:vAlign w:val="bottom"/>
          </w:tcPr>
          <w:p w14:paraId="0B82B2FA" w14:textId="6BFF9C28"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37,343.8</w:t>
            </w:r>
          </w:p>
        </w:tc>
        <w:tc>
          <w:tcPr>
            <w:tcW w:w="420" w:type="pct"/>
            <w:tcBorders>
              <w:top w:val="nil"/>
              <w:left w:val="nil"/>
              <w:bottom w:val="single" w:sz="4" w:space="0" w:color="auto"/>
              <w:right w:val="nil"/>
            </w:tcBorders>
            <w:shd w:val="clear" w:color="000000" w:fill="FFFFFF"/>
            <w:noWrap/>
            <w:vAlign w:val="bottom"/>
          </w:tcPr>
          <w:p w14:paraId="3018E994" w14:textId="481694C8"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37,343.8</w:t>
            </w:r>
          </w:p>
        </w:tc>
        <w:tc>
          <w:tcPr>
            <w:tcW w:w="420" w:type="pct"/>
            <w:tcBorders>
              <w:top w:val="nil"/>
              <w:left w:val="nil"/>
              <w:bottom w:val="single" w:sz="4" w:space="0" w:color="auto"/>
              <w:right w:val="nil"/>
            </w:tcBorders>
            <w:shd w:val="clear" w:color="000000" w:fill="FFFFFF"/>
            <w:noWrap/>
            <w:vAlign w:val="bottom"/>
          </w:tcPr>
          <w:p w14:paraId="46C5948D" w14:textId="2556860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37,343.8</w:t>
            </w:r>
          </w:p>
        </w:tc>
        <w:tc>
          <w:tcPr>
            <w:tcW w:w="420" w:type="pct"/>
            <w:tcBorders>
              <w:top w:val="nil"/>
              <w:left w:val="nil"/>
              <w:bottom w:val="single" w:sz="4" w:space="0" w:color="auto"/>
              <w:right w:val="nil"/>
            </w:tcBorders>
            <w:shd w:val="clear" w:color="000000" w:fill="FFFFFF"/>
            <w:noWrap/>
            <w:vAlign w:val="bottom"/>
          </w:tcPr>
          <w:p w14:paraId="24E0D17F" w14:textId="035FF44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37,343.8</w:t>
            </w:r>
          </w:p>
        </w:tc>
      </w:tr>
      <w:tr w:rsidR="004463E3" w:rsidRPr="00BE1566" w14:paraId="02FE1762" w14:textId="77777777" w:rsidTr="00D96D89">
        <w:trPr>
          <w:trHeight w:val="285"/>
        </w:trPr>
        <w:tc>
          <w:tcPr>
            <w:tcW w:w="800" w:type="pct"/>
            <w:tcBorders>
              <w:top w:val="nil"/>
              <w:left w:val="nil"/>
              <w:bottom w:val="nil"/>
              <w:right w:val="nil"/>
            </w:tcBorders>
            <w:shd w:val="clear" w:color="000000" w:fill="FFFFFF"/>
            <w:noWrap/>
            <w:vAlign w:val="bottom"/>
            <w:hideMark/>
          </w:tcPr>
          <w:p w14:paraId="0BF3218B" w14:textId="77777777" w:rsidR="004463E3" w:rsidRPr="00BE1566" w:rsidRDefault="004463E3" w:rsidP="004463E3">
            <w:pPr>
              <w:spacing w:after="0" w:line="240" w:lineRule="auto"/>
              <w:rPr>
                <w:rFonts w:ascii="Calibri" w:eastAsia="Times New Roman" w:hAnsi="Calibri" w:cs="Calibri"/>
                <w:b/>
                <w:bCs/>
                <w:color w:val="000000"/>
                <w:sz w:val="16"/>
                <w:szCs w:val="16"/>
              </w:rPr>
            </w:pPr>
            <w:r w:rsidRPr="00BE1566">
              <w:rPr>
                <w:rFonts w:ascii="Calibri" w:eastAsia="Times New Roman" w:hAnsi="Calibri" w:cs="Calibri"/>
                <w:b/>
                <w:bCs/>
                <w:color w:val="000000"/>
                <w:sz w:val="16"/>
                <w:szCs w:val="16"/>
              </w:rPr>
              <w:t> </w:t>
            </w:r>
          </w:p>
        </w:tc>
        <w:tc>
          <w:tcPr>
            <w:tcW w:w="420" w:type="pct"/>
            <w:tcBorders>
              <w:top w:val="nil"/>
              <w:left w:val="nil"/>
              <w:bottom w:val="nil"/>
              <w:right w:val="nil"/>
            </w:tcBorders>
            <w:shd w:val="clear" w:color="000000" w:fill="FFFFFF"/>
            <w:noWrap/>
            <w:vAlign w:val="bottom"/>
          </w:tcPr>
          <w:p w14:paraId="5CCB2C6D" w14:textId="132A79A5" w:rsidR="004463E3" w:rsidRPr="00B40C92" w:rsidRDefault="004463E3" w:rsidP="004463E3">
            <w:pPr>
              <w:spacing w:after="0" w:line="240" w:lineRule="auto"/>
              <w:rPr>
                <w:rFonts w:eastAsia="Times New Roman" w:cstheme="minorHAnsi"/>
                <w:color w:val="000000"/>
                <w:sz w:val="16"/>
                <w:szCs w:val="16"/>
              </w:rPr>
            </w:pPr>
            <w:r w:rsidRPr="00B40C92">
              <w:rPr>
                <w:rFonts w:cstheme="minorHAnsi"/>
                <w:color w:val="000000"/>
                <w:sz w:val="16"/>
                <w:szCs w:val="16"/>
              </w:rPr>
              <w:t> </w:t>
            </w:r>
          </w:p>
        </w:tc>
        <w:tc>
          <w:tcPr>
            <w:tcW w:w="420" w:type="pct"/>
            <w:tcBorders>
              <w:top w:val="nil"/>
              <w:left w:val="nil"/>
              <w:bottom w:val="nil"/>
              <w:right w:val="nil"/>
            </w:tcBorders>
            <w:shd w:val="clear" w:color="000000" w:fill="FFFFFF"/>
            <w:noWrap/>
            <w:vAlign w:val="bottom"/>
          </w:tcPr>
          <w:p w14:paraId="79742E6E" w14:textId="5F897778" w:rsidR="004463E3" w:rsidRPr="00B40C92" w:rsidRDefault="004463E3" w:rsidP="004463E3">
            <w:pPr>
              <w:spacing w:after="0" w:line="240" w:lineRule="auto"/>
              <w:rPr>
                <w:rFonts w:eastAsia="Times New Roman" w:cstheme="minorHAnsi"/>
                <w:color w:val="000000"/>
                <w:sz w:val="16"/>
                <w:szCs w:val="16"/>
              </w:rPr>
            </w:pPr>
            <w:r w:rsidRPr="00B40C92">
              <w:rPr>
                <w:rFonts w:cstheme="minorHAnsi"/>
                <w:color w:val="000000"/>
                <w:sz w:val="16"/>
                <w:szCs w:val="16"/>
              </w:rPr>
              <w:t> </w:t>
            </w:r>
          </w:p>
        </w:tc>
        <w:tc>
          <w:tcPr>
            <w:tcW w:w="420" w:type="pct"/>
            <w:tcBorders>
              <w:top w:val="nil"/>
              <w:left w:val="nil"/>
              <w:bottom w:val="nil"/>
              <w:right w:val="nil"/>
            </w:tcBorders>
            <w:shd w:val="clear" w:color="000000" w:fill="FFFFFF"/>
            <w:noWrap/>
            <w:vAlign w:val="bottom"/>
          </w:tcPr>
          <w:p w14:paraId="7926342F" w14:textId="37B93034" w:rsidR="004463E3" w:rsidRPr="00B40C92" w:rsidRDefault="004463E3" w:rsidP="004463E3">
            <w:pPr>
              <w:spacing w:after="0" w:line="240" w:lineRule="auto"/>
              <w:rPr>
                <w:rFonts w:eastAsia="Times New Roman" w:cstheme="minorHAnsi"/>
                <w:color w:val="000000"/>
                <w:sz w:val="16"/>
                <w:szCs w:val="16"/>
              </w:rPr>
            </w:pPr>
            <w:r w:rsidRPr="00B40C92">
              <w:rPr>
                <w:rFonts w:cstheme="minorHAnsi"/>
                <w:color w:val="000000"/>
                <w:sz w:val="16"/>
                <w:szCs w:val="16"/>
              </w:rPr>
              <w:t> </w:t>
            </w:r>
          </w:p>
        </w:tc>
        <w:tc>
          <w:tcPr>
            <w:tcW w:w="420" w:type="pct"/>
            <w:tcBorders>
              <w:top w:val="nil"/>
              <w:left w:val="nil"/>
              <w:bottom w:val="nil"/>
              <w:right w:val="nil"/>
            </w:tcBorders>
            <w:shd w:val="clear" w:color="000000" w:fill="FFFFFF"/>
            <w:noWrap/>
            <w:vAlign w:val="bottom"/>
          </w:tcPr>
          <w:p w14:paraId="49ACE396" w14:textId="567B0D29" w:rsidR="004463E3" w:rsidRPr="00B40C92" w:rsidRDefault="004463E3" w:rsidP="004463E3">
            <w:pPr>
              <w:spacing w:after="0" w:line="240" w:lineRule="auto"/>
              <w:rPr>
                <w:rFonts w:eastAsia="Times New Roman" w:cstheme="minorHAnsi"/>
                <w:color w:val="000000"/>
                <w:sz w:val="16"/>
                <w:szCs w:val="16"/>
              </w:rPr>
            </w:pPr>
            <w:r w:rsidRPr="00B40C92">
              <w:rPr>
                <w:rFonts w:cstheme="minorHAnsi"/>
                <w:color w:val="000000"/>
                <w:sz w:val="16"/>
                <w:szCs w:val="16"/>
              </w:rPr>
              <w:t> </w:t>
            </w:r>
          </w:p>
        </w:tc>
        <w:tc>
          <w:tcPr>
            <w:tcW w:w="420" w:type="pct"/>
            <w:tcBorders>
              <w:top w:val="nil"/>
              <w:left w:val="nil"/>
              <w:bottom w:val="nil"/>
              <w:right w:val="nil"/>
            </w:tcBorders>
            <w:shd w:val="clear" w:color="000000" w:fill="FFFFFF"/>
            <w:noWrap/>
            <w:vAlign w:val="bottom"/>
          </w:tcPr>
          <w:p w14:paraId="08A3DCB8" w14:textId="49B4C8AB" w:rsidR="004463E3" w:rsidRPr="00B40C92" w:rsidRDefault="004463E3" w:rsidP="004463E3">
            <w:pPr>
              <w:spacing w:after="0" w:line="240" w:lineRule="auto"/>
              <w:rPr>
                <w:rFonts w:eastAsia="Times New Roman" w:cstheme="minorHAnsi"/>
                <w:color w:val="000000"/>
                <w:sz w:val="16"/>
                <w:szCs w:val="16"/>
              </w:rPr>
            </w:pPr>
            <w:r w:rsidRPr="00B40C92">
              <w:rPr>
                <w:rFonts w:cstheme="minorHAnsi"/>
                <w:color w:val="000000"/>
                <w:sz w:val="16"/>
                <w:szCs w:val="16"/>
              </w:rPr>
              <w:t> </w:t>
            </w:r>
          </w:p>
        </w:tc>
        <w:tc>
          <w:tcPr>
            <w:tcW w:w="420" w:type="pct"/>
            <w:tcBorders>
              <w:top w:val="nil"/>
              <w:left w:val="nil"/>
              <w:bottom w:val="nil"/>
              <w:right w:val="nil"/>
            </w:tcBorders>
            <w:shd w:val="clear" w:color="000000" w:fill="FFFFFF"/>
            <w:noWrap/>
            <w:vAlign w:val="bottom"/>
          </w:tcPr>
          <w:p w14:paraId="11572F8D" w14:textId="37831BBE" w:rsidR="004463E3" w:rsidRPr="00B40C92" w:rsidRDefault="004463E3" w:rsidP="004463E3">
            <w:pPr>
              <w:spacing w:after="0" w:line="240" w:lineRule="auto"/>
              <w:rPr>
                <w:rFonts w:eastAsia="Times New Roman" w:cstheme="minorHAnsi"/>
                <w:color w:val="000000"/>
                <w:sz w:val="16"/>
                <w:szCs w:val="16"/>
              </w:rPr>
            </w:pPr>
            <w:r w:rsidRPr="00B40C92">
              <w:rPr>
                <w:rFonts w:cstheme="minorHAnsi"/>
                <w:color w:val="000000"/>
                <w:sz w:val="16"/>
                <w:szCs w:val="16"/>
              </w:rPr>
              <w:t> </w:t>
            </w:r>
          </w:p>
        </w:tc>
        <w:tc>
          <w:tcPr>
            <w:tcW w:w="420" w:type="pct"/>
            <w:tcBorders>
              <w:top w:val="nil"/>
              <w:left w:val="nil"/>
              <w:bottom w:val="nil"/>
              <w:right w:val="nil"/>
            </w:tcBorders>
            <w:shd w:val="clear" w:color="000000" w:fill="FFFFFF"/>
            <w:noWrap/>
            <w:vAlign w:val="bottom"/>
          </w:tcPr>
          <w:p w14:paraId="58C7EA3F" w14:textId="3BCC16C6" w:rsidR="004463E3" w:rsidRPr="00B40C92" w:rsidRDefault="004463E3" w:rsidP="004463E3">
            <w:pPr>
              <w:spacing w:after="0" w:line="240" w:lineRule="auto"/>
              <w:rPr>
                <w:rFonts w:eastAsia="Times New Roman" w:cstheme="minorHAnsi"/>
                <w:color w:val="000000"/>
                <w:sz w:val="16"/>
                <w:szCs w:val="16"/>
              </w:rPr>
            </w:pPr>
            <w:r w:rsidRPr="00B40C92">
              <w:rPr>
                <w:rFonts w:cstheme="minorHAnsi"/>
                <w:color w:val="000000"/>
                <w:sz w:val="16"/>
                <w:szCs w:val="16"/>
              </w:rPr>
              <w:t> </w:t>
            </w:r>
          </w:p>
        </w:tc>
        <w:tc>
          <w:tcPr>
            <w:tcW w:w="420" w:type="pct"/>
            <w:tcBorders>
              <w:top w:val="nil"/>
              <w:left w:val="nil"/>
              <w:bottom w:val="nil"/>
              <w:right w:val="nil"/>
            </w:tcBorders>
            <w:shd w:val="clear" w:color="000000" w:fill="FFFFFF"/>
            <w:noWrap/>
            <w:vAlign w:val="bottom"/>
          </w:tcPr>
          <w:p w14:paraId="08724B4E" w14:textId="1F928019" w:rsidR="004463E3" w:rsidRPr="00B40C92" w:rsidRDefault="004463E3" w:rsidP="004463E3">
            <w:pPr>
              <w:spacing w:after="0" w:line="240" w:lineRule="auto"/>
              <w:rPr>
                <w:rFonts w:eastAsia="Times New Roman" w:cstheme="minorHAnsi"/>
                <w:color w:val="000000"/>
                <w:sz w:val="16"/>
                <w:szCs w:val="16"/>
              </w:rPr>
            </w:pPr>
            <w:r w:rsidRPr="00B40C92">
              <w:rPr>
                <w:rFonts w:cstheme="minorHAnsi"/>
                <w:color w:val="000000"/>
                <w:sz w:val="16"/>
                <w:szCs w:val="16"/>
              </w:rPr>
              <w:t> </w:t>
            </w:r>
          </w:p>
        </w:tc>
        <w:tc>
          <w:tcPr>
            <w:tcW w:w="420" w:type="pct"/>
            <w:tcBorders>
              <w:top w:val="nil"/>
              <w:left w:val="nil"/>
              <w:bottom w:val="nil"/>
              <w:right w:val="nil"/>
            </w:tcBorders>
            <w:shd w:val="clear" w:color="000000" w:fill="FFFFFF"/>
            <w:noWrap/>
            <w:vAlign w:val="bottom"/>
          </w:tcPr>
          <w:p w14:paraId="23BFAFB4" w14:textId="52491493" w:rsidR="004463E3" w:rsidRPr="00B40C92" w:rsidRDefault="004463E3" w:rsidP="004463E3">
            <w:pPr>
              <w:spacing w:after="0" w:line="240" w:lineRule="auto"/>
              <w:rPr>
                <w:rFonts w:eastAsia="Times New Roman" w:cstheme="minorHAnsi"/>
                <w:color w:val="000000"/>
                <w:sz w:val="16"/>
                <w:szCs w:val="16"/>
              </w:rPr>
            </w:pPr>
            <w:r w:rsidRPr="00B40C92">
              <w:rPr>
                <w:rFonts w:cstheme="minorHAnsi"/>
                <w:color w:val="000000"/>
                <w:sz w:val="16"/>
                <w:szCs w:val="16"/>
              </w:rPr>
              <w:t> </w:t>
            </w:r>
          </w:p>
        </w:tc>
        <w:tc>
          <w:tcPr>
            <w:tcW w:w="420" w:type="pct"/>
            <w:tcBorders>
              <w:top w:val="nil"/>
              <w:left w:val="nil"/>
              <w:bottom w:val="nil"/>
              <w:right w:val="nil"/>
            </w:tcBorders>
            <w:shd w:val="clear" w:color="000000" w:fill="FFFFFF"/>
            <w:noWrap/>
            <w:vAlign w:val="bottom"/>
          </w:tcPr>
          <w:p w14:paraId="0BC440FE" w14:textId="58A72EE8" w:rsidR="004463E3" w:rsidRPr="00B40C92" w:rsidRDefault="004463E3" w:rsidP="004463E3">
            <w:pPr>
              <w:spacing w:after="0" w:line="240" w:lineRule="auto"/>
              <w:rPr>
                <w:rFonts w:eastAsia="Times New Roman" w:cstheme="minorHAnsi"/>
                <w:color w:val="000000"/>
                <w:sz w:val="16"/>
                <w:szCs w:val="16"/>
              </w:rPr>
            </w:pPr>
            <w:r w:rsidRPr="00B40C92">
              <w:rPr>
                <w:rFonts w:cstheme="minorHAnsi"/>
                <w:color w:val="000000"/>
                <w:sz w:val="16"/>
                <w:szCs w:val="16"/>
              </w:rPr>
              <w:t> </w:t>
            </w:r>
          </w:p>
        </w:tc>
      </w:tr>
      <w:tr w:rsidR="004463E3" w:rsidRPr="00BE1566" w14:paraId="21894965" w14:textId="77777777" w:rsidTr="00D96D89">
        <w:trPr>
          <w:trHeight w:val="285"/>
        </w:trPr>
        <w:tc>
          <w:tcPr>
            <w:tcW w:w="800" w:type="pct"/>
            <w:tcBorders>
              <w:top w:val="nil"/>
              <w:left w:val="nil"/>
              <w:bottom w:val="nil"/>
              <w:right w:val="nil"/>
            </w:tcBorders>
            <w:shd w:val="clear" w:color="000000" w:fill="FFFFFF"/>
            <w:noWrap/>
            <w:vAlign w:val="bottom"/>
            <w:hideMark/>
          </w:tcPr>
          <w:p w14:paraId="68D3CC89"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Total uncertainty</w:t>
            </w:r>
          </w:p>
        </w:tc>
        <w:tc>
          <w:tcPr>
            <w:tcW w:w="420" w:type="pct"/>
            <w:tcBorders>
              <w:top w:val="nil"/>
              <w:left w:val="nil"/>
              <w:bottom w:val="nil"/>
              <w:right w:val="nil"/>
            </w:tcBorders>
            <w:shd w:val="clear" w:color="000000" w:fill="FFFFFF"/>
            <w:noWrap/>
            <w:vAlign w:val="bottom"/>
          </w:tcPr>
          <w:p w14:paraId="648B7EEF" w14:textId="20BF5C8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0.05</w:t>
            </w:r>
          </w:p>
        </w:tc>
        <w:tc>
          <w:tcPr>
            <w:tcW w:w="420" w:type="pct"/>
            <w:tcBorders>
              <w:top w:val="nil"/>
              <w:left w:val="nil"/>
              <w:bottom w:val="nil"/>
              <w:right w:val="nil"/>
            </w:tcBorders>
            <w:shd w:val="clear" w:color="000000" w:fill="FFFFFF"/>
            <w:noWrap/>
            <w:vAlign w:val="bottom"/>
          </w:tcPr>
          <w:p w14:paraId="56918C50" w14:textId="684CEC72"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0.06</w:t>
            </w:r>
          </w:p>
        </w:tc>
        <w:tc>
          <w:tcPr>
            <w:tcW w:w="420" w:type="pct"/>
            <w:tcBorders>
              <w:top w:val="nil"/>
              <w:left w:val="nil"/>
              <w:bottom w:val="nil"/>
              <w:right w:val="nil"/>
            </w:tcBorders>
            <w:shd w:val="clear" w:color="000000" w:fill="FFFFFF"/>
            <w:noWrap/>
            <w:vAlign w:val="bottom"/>
          </w:tcPr>
          <w:p w14:paraId="28C0ABB6" w14:textId="6A17CFF7"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0.06</w:t>
            </w:r>
          </w:p>
        </w:tc>
        <w:tc>
          <w:tcPr>
            <w:tcW w:w="420" w:type="pct"/>
            <w:tcBorders>
              <w:top w:val="nil"/>
              <w:left w:val="nil"/>
              <w:bottom w:val="nil"/>
              <w:right w:val="nil"/>
            </w:tcBorders>
            <w:shd w:val="clear" w:color="000000" w:fill="FFFFFF"/>
            <w:noWrap/>
            <w:vAlign w:val="bottom"/>
          </w:tcPr>
          <w:p w14:paraId="02882602" w14:textId="2E922EEB"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0.06</w:t>
            </w:r>
          </w:p>
        </w:tc>
        <w:tc>
          <w:tcPr>
            <w:tcW w:w="420" w:type="pct"/>
            <w:tcBorders>
              <w:top w:val="nil"/>
              <w:left w:val="nil"/>
              <w:bottom w:val="nil"/>
              <w:right w:val="nil"/>
            </w:tcBorders>
            <w:shd w:val="clear" w:color="000000" w:fill="FFFFFF"/>
            <w:noWrap/>
            <w:vAlign w:val="bottom"/>
          </w:tcPr>
          <w:p w14:paraId="3C26D9BE" w14:textId="391EAE56"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0.06</w:t>
            </w:r>
          </w:p>
        </w:tc>
        <w:tc>
          <w:tcPr>
            <w:tcW w:w="420" w:type="pct"/>
            <w:tcBorders>
              <w:top w:val="nil"/>
              <w:left w:val="nil"/>
              <w:bottom w:val="nil"/>
              <w:right w:val="nil"/>
            </w:tcBorders>
            <w:shd w:val="clear" w:color="000000" w:fill="FFFFFF"/>
            <w:noWrap/>
            <w:vAlign w:val="bottom"/>
          </w:tcPr>
          <w:p w14:paraId="397C1EA6" w14:textId="6912DF3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0.06</w:t>
            </w:r>
          </w:p>
        </w:tc>
        <w:tc>
          <w:tcPr>
            <w:tcW w:w="420" w:type="pct"/>
            <w:tcBorders>
              <w:top w:val="nil"/>
              <w:left w:val="nil"/>
              <w:bottom w:val="nil"/>
              <w:right w:val="nil"/>
            </w:tcBorders>
            <w:shd w:val="clear" w:color="000000" w:fill="FFFFFF"/>
            <w:noWrap/>
            <w:vAlign w:val="bottom"/>
          </w:tcPr>
          <w:p w14:paraId="69B0A1DD" w14:textId="140A809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0.06</w:t>
            </w:r>
          </w:p>
        </w:tc>
        <w:tc>
          <w:tcPr>
            <w:tcW w:w="420" w:type="pct"/>
            <w:tcBorders>
              <w:top w:val="nil"/>
              <w:left w:val="nil"/>
              <w:bottom w:val="nil"/>
              <w:right w:val="nil"/>
            </w:tcBorders>
            <w:shd w:val="clear" w:color="000000" w:fill="FFFFFF"/>
            <w:noWrap/>
            <w:vAlign w:val="bottom"/>
          </w:tcPr>
          <w:p w14:paraId="383E9A24" w14:textId="71F34C55"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0.06</w:t>
            </w:r>
          </w:p>
        </w:tc>
        <w:tc>
          <w:tcPr>
            <w:tcW w:w="420" w:type="pct"/>
            <w:tcBorders>
              <w:top w:val="nil"/>
              <w:left w:val="nil"/>
              <w:bottom w:val="nil"/>
              <w:right w:val="nil"/>
            </w:tcBorders>
            <w:shd w:val="clear" w:color="000000" w:fill="FFFFFF"/>
            <w:noWrap/>
            <w:vAlign w:val="bottom"/>
          </w:tcPr>
          <w:p w14:paraId="54AC1E69" w14:textId="1DC45D48"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0.06</w:t>
            </w:r>
          </w:p>
        </w:tc>
        <w:tc>
          <w:tcPr>
            <w:tcW w:w="420" w:type="pct"/>
            <w:tcBorders>
              <w:top w:val="nil"/>
              <w:left w:val="nil"/>
              <w:bottom w:val="nil"/>
              <w:right w:val="nil"/>
            </w:tcBorders>
            <w:shd w:val="clear" w:color="000000" w:fill="FFFFFF"/>
            <w:noWrap/>
            <w:vAlign w:val="bottom"/>
          </w:tcPr>
          <w:p w14:paraId="6A1778FC" w14:textId="113B452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0.06</w:t>
            </w:r>
          </w:p>
        </w:tc>
      </w:tr>
      <w:tr w:rsidR="004463E3" w:rsidRPr="00BE1566" w14:paraId="7E60E0BF" w14:textId="77777777" w:rsidTr="00D96D89">
        <w:trPr>
          <w:trHeight w:val="315"/>
        </w:trPr>
        <w:tc>
          <w:tcPr>
            <w:tcW w:w="800" w:type="pct"/>
            <w:tcBorders>
              <w:top w:val="nil"/>
              <w:left w:val="nil"/>
              <w:bottom w:val="nil"/>
              <w:right w:val="nil"/>
            </w:tcBorders>
            <w:shd w:val="clear" w:color="000000" w:fill="FFFFFF"/>
            <w:noWrap/>
            <w:vAlign w:val="bottom"/>
            <w:hideMark/>
          </w:tcPr>
          <w:p w14:paraId="2AD1661C"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Emissions reduction at t</w:t>
            </w:r>
          </w:p>
        </w:tc>
        <w:tc>
          <w:tcPr>
            <w:tcW w:w="420" w:type="pct"/>
            <w:tcBorders>
              <w:top w:val="nil"/>
              <w:left w:val="nil"/>
              <w:bottom w:val="nil"/>
              <w:right w:val="nil"/>
            </w:tcBorders>
            <w:shd w:val="clear" w:color="000000" w:fill="FFFFFF"/>
            <w:noWrap/>
            <w:vAlign w:val="bottom"/>
          </w:tcPr>
          <w:p w14:paraId="1E4B5E10" w14:textId="29D8091D"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13,292.0</w:t>
            </w:r>
          </w:p>
        </w:tc>
        <w:tc>
          <w:tcPr>
            <w:tcW w:w="420" w:type="pct"/>
            <w:tcBorders>
              <w:top w:val="nil"/>
              <w:left w:val="nil"/>
              <w:bottom w:val="nil"/>
              <w:right w:val="nil"/>
            </w:tcBorders>
            <w:shd w:val="clear" w:color="000000" w:fill="FFFFFF"/>
            <w:noWrap/>
            <w:vAlign w:val="bottom"/>
          </w:tcPr>
          <w:p w14:paraId="4C64516C" w14:textId="5FE25641"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22,885.0</w:t>
            </w:r>
          </w:p>
        </w:tc>
        <w:tc>
          <w:tcPr>
            <w:tcW w:w="420" w:type="pct"/>
            <w:tcBorders>
              <w:top w:val="nil"/>
              <w:left w:val="nil"/>
              <w:bottom w:val="nil"/>
              <w:right w:val="nil"/>
            </w:tcBorders>
            <w:shd w:val="clear" w:color="000000" w:fill="FFFFFF"/>
            <w:noWrap/>
            <w:vAlign w:val="bottom"/>
          </w:tcPr>
          <w:p w14:paraId="3F946C42" w14:textId="0913E8B6"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22,885.0</w:t>
            </w:r>
          </w:p>
        </w:tc>
        <w:tc>
          <w:tcPr>
            <w:tcW w:w="420" w:type="pct"/>
            <w:tcBorders>
              <w:top w:val="nil"/>
              <w:left w:val="nil"/>
              <w:bottom w:val="nil"/>
              <w:right w:val="nil"/>
            </w:tcBorders>
            <w:shd w:val="clear" w:color="000000" w:fill="FFFFFF"/>
            <w:noWrap/>
            <w:vAlign w:val="bottom"/>
          </w:tcPr>
          <w:p w14:paraId="3C09F984" w14:textId="5BD3539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22,885.0</w:t>
            </w:r>
          </w:p>
        </w:tc>
        <w:tc>
          <w:tcPr>
            <w:tcW w:w="420" w:type="pct"/>
            <w:tcBorders>
              <w:top w:val="nil"/>
              <w:left w:val="nil"/>
              <w:bottom w:val="nil"/>
              <w:right w:val="nil"/>
            </w:tcBorders>
            <w:shd w:val="clear" w:color="000000" w:fill="FFFFFF"/>
            <w:noWrap/>
            <w:vAlign w:val="bottom"/>
          </w:tcPr>
          <w:p w14:paraId="65B6191D" w14:textId="553A16D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31,597.0</w:t>
            </w:r>
          </w:p>
        </w:tc>
        <w:tc>
          <w:tcPr>
            <w:tcW w:w="420" w:type="pct"/>
            <w:tcBorders>
              <w:top w:val="nil"/>
              <w:left w:val="nil"/>
              <w:bottom w:val="nil"/>
              <w:right w:val="nil"/>
            </w:tcBorders>
            <w:shd w:val="clear" w:color="000000" w:fill="FFFFFF"/>
            <w:noWrap/>
            <w:vAlign w:val="bottom"/>
          </w:tcPr>
          <w:p w14:paraId="15EE5769" w14:textId="308B8AF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-38,467.0</w:t>
            </w:r>
          </w:p>
        </w:tc>
        <w:tc>
          <w:tcPr>
            <w:tcW w:w="420" w:type="pct"/>
            <w:tcBorders>
              <w:top w:val="nil"/>
              <w:left w:val="nil"/>
              <w:bottom w:val="nil"/>
              <w:right w:val="nil"/>
            </w:tcBorders>
            <w:shd w:val="clear" w:color="000000" w:fill="FFFFFF"/>
            <w:noWrap/>
            <w:vAlign w:val="bottom"/>
          </w:tcPr>
          <w:p w14:paraId="739C23DE" w14:textId="745F743B"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22,406.0</w:t>
            </w:r>
          </w:p>
        </w:tc>
        <w:tc>
          <w:tcPr>
            <w:tcW w:w="420" w:type="pct"/>
            <w:tcBorders>
              <w:top w:val="nil"/>
              <w:left w:val="nil"/>
              <w:bottom w:val="nil"/>
              <w:right w:val="nil"/>
            </w:tcBorders>
            <w:shd w:val="clear" w:color="000000" w:fill="FFFFFF"/>
            <w:noWrap/>
            <w:vAlign w:val="bottom"/>
          </w:tcPr>
          <w:p w14:paraId="4818FBDA" w14:textId="0CFAEC5B"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22,406.0</w:t>
            </w:r>
          </w:p>
        </w:tc>
        <w:tc>
          <w:tcPr>
            <w:tcW w:w="420" w:type="pct"/>
            <w:tcBorders>
              <w:top w:val="nil"/>
              <w:left w:val="nil"/>
              <w:bottom w:val="nil"/>
              <w:right w:val="nil"/>
            </w:tcBorders>
            <w:shd w:val="clear" w:color="000000" w:fill="FFFFFF"/>
            <w:noWrap/>
            <w:vAlign w:val="bottom"/>
          </w:tcPr>
          <w:p w14:paraId="0182ABF2" w14:textId="114A085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22,406.0</w:t>
            </w:r>
          </w:p>
        </w:tc>
        <w:tc>
          <w:tcPr>
            <w:tcW w:w="420" w:type="pct"/>
            <w:tcBorders>
              <w:top w:val="nil"/>
              <w:left w:val="nil"/>
              <w:bottom w:val="nil"/>
              <w:right w:val="nil"/>
            </w:tcBorders>
            <w:shd w:val="clear" w:color="000000" w:fill="FFFFFF"/>
            <w:noWrap/>
            <w:vAlign w:val="bottom"/>
          </w:tcPr>
          <w:p w14:paraId="0D0B1CE9" w14:textId="602EF507"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22,406.0</w:t>
            </w:r>
          </w:p>
        </w:tc>
      </w:tr>
      <w:tr w:rsidR="004463E3" w:rsidRPr="00BE1566" w14:paraId="729B1E17" w14:textId="77777777" w:rsidTr="00D96D89">
        <w:trPr>
          <w:trHeight w:val="315"/>
        </w:trPr>
        <w:tc>
          <w:tcPr>
            <w:tcW w:w="800" w:type="pct"/>
            <w:tcBorders>
              <w:top w:val="nil"/>
              <w:left w:val="nil"/>
              <w:bottom w:val="nil"/>
              <w:right w:val="nil"/>
            </w:tcBorders>
            <w:shd w:val="clear" w:color="auto" w:fill="auto"/>
            <w:noWrap/>
            <w:vAlign w:val="bottom"/>
            <w:hideMark/>
          </w:tcPr>
          <w:p w14:paraId="659AFD60"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Negative C balance</w:t>
            </w:r>
          </w:p>
        </w:tc>
        <w:tc>
          <w:tcPr>
            <w:tcW w:w="420" w:type="pct"/>
            <w:tcBorders>
              <w:top w:val="nil"/>
              <w:left w:val="nil"/>
              <w:bottom w:val="nil"/>
              <w:right w:val="nil"/>
            </w:tcBorders>
            <w:shd w:val="clear" w:color="auto" w:fill="auto"/>
            <w:noWrap/>
            <w:vAlign w:val="bottom"/>
          </w:tcPr>
          <w:p w14:paraId="719FC785" w14:textId="047AFE5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auto" w:fill="auto"/>
            <w:noWrap/>
            <w:vAlign w:val="bottom"/>
          </w:tcPr>
          <w:p w14:paraId="19B63E2B" w14:textId="7D7B04B2"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auto" w:fill="auto"/>
            <w:noWrap/>
            <w:vAlign w:val="bottom"/>
          </w:tcPr>
          <w:p w14:paraId="7F7BAD0B" w14:textId="7370255C"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auto" w:fill="auto"/>
            <w:noWrap/>
            <w:vAlign w:val="bottom"/>
          </w:tcPr>
          <w:p w14:paraId="46AA6C64" w14:textId="30562EA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auto" w:fill="auto"/>
            <w:noWrap/>
            <w:vAlign w:val="bottom"/>
          </w:tcPr>
          <w:p w14:paraId="130D19AA" w14:textId="7547F29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auto" w:fill="auto"/>
            <w:noWrap/>
            <w:vAlign w:val="bottom"/>
          </w:tcPr>
          <w:p w14:paraId="789E405B" w14:textId="643165DD"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-38,467.0</w:t>
            </w:r>
          </w:p>
        </w:tc>
        <w:tc>
          <w:tcPr>
            <w:tcW w:w="420" w:type="pct"/>
            <w:tcBorders>
              <w:top w:val="nil"/>
              <w:left w:val="nil"/>
              <w:bottom w:val="nil"/>
              <w:right w:val="nil"/>
            </w:tcBorders>
            <w:shd w:val="clear" w:color="auto" w:fill="auto"/>
            <w:noWrap/>
            <w:vAlign w:val="bottom"/>
          </w:tcPr>
          <w:p w14:paraId="6A17ECB3" w14:textId="561DAA52"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-16,061.0</w:t>
            </w:r>
          </w:p>
        </w:tc>
        <w:tc>
          <w:tcPr>
            <w:tcW w:w="420" w:type="pct"/>
            <w:tcBorders>
              <w:top w:val="nil"/>
              <w:left w:val="nil"/>
              <w:bottom w:val="nil"/>
              <w:right w:val="nil"/>
            </w:tcBorders>
            <w:shd w:val="clear" w:color="auto" w:fill="auto"/>
            <w:noWrap/>
            <w:vAlign w:val="bottom"/>
          </w:tcPr>
          <w:p w14:paraId="32E082CB" w14:textId="4B1C003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auto" w:fill="auto"/>
            <w:noWrap/>
            <w:vAlign w:val="bottom"/>
          </w:tcPr>
          <w:p w14:paraId="6A067192" w14:textId="0C419541"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auto" w:fill="auto"/>
            <w:noWrap/>
            <w:vAlign w:val="bottom"/>
          </w:tcPr>
          <w:p w14:paraId="143FE75A" w14:textId="4B078C78"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r>
      <w:tr w:rsidR="004463E3" w:rsidRPr="00BE1566" w14:paraId="1C6F0A79" w14:textId="77777777" w:rsidTr="00D96D89">
        <w:trPr>
          <w:trHeight w:val="285"/>
        </w:trPr>
        <w:tc>
          <w:tcPr>
            <w:tcW w:w="800" w:type="pct"/>
            <w:tcBorders>
              <w:top w:val="nil"/>
              <w:left w:val="nil"/>
              <w:bottom w:val="nil"/>
              <w:right w:val="nil"/>
            </w:tcBorders>
            <w:shd w:val="clear" w:color="000000" w:fill="FFFFFF"/>
            <w:noWrap/>
            <w:vAlign w:val="bottom"/>
            <w:hideMark/>
          </w:tcPr>
          <w:p w14:paraId="43DE539D"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ERTs Issued at time t</w:t>
            </w:r>
          </w:p>
        </w:tc>
        <w:tc>
          <w:tcPr>
            <w:tcW w:w="420" w:type="pct"/>
            <w:tcBorders>
              <w:top w:val="nil"/>
              <w:left w:val="nil"/>
              <w:bottom w:val="nil"/>
              <w:right w:val="nil"/>
            </w:tcBorders>
            <w:shd w:val="clear" w:color="000000" w:fill="FFFFFF"/>
            <w:noWrap/>
            <w:vAlign w:val="bottom"/>
          </w:tcPr>
          <w:p w14:paraId="26A107BC" w14:textId="7BA4B7B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13,292.0</w:t>
            </w:r>
          </w:p>
        </w:tc>
        <w:tc>
          <w:tcPr>
            <w:tcW w:w="420" w:type="pct"/>
            <w:tcBorders>
              <w:top w:val="nil"/>
              <w:left w:val="nil"/>
              <w:bottom w:val="nil"/>
              <w:right w:val="nil"/>
            </w:tcBorders>
            <w:shd w:val="clear" w:color="000000" w:fill="FFFFFF"/>
            <w:noWrap/>
            <w:vAlign w:val="bottom"/>
          </w:tcPr>
          <w:p w14:paraId="0AB28693" w14:textId="79293621"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22,885.0</w:t>
            </w:r>
          </w:p>
        </w:tc>
        <w:tc>
          <w:tcPr>
            <w:tcW w:w="420" w:type="pct"/>
            <w:tcBorders>
              <w:top w:val="nil"/>
              <w:left w:val="nil"/>
              <w:bottom w:val="nil"/>
              <w:right w:val="nil"/>
            </w:tcBorders>
            <w:shd w:val="clear" w:color="000000" w:fill="FFFFFF"/>
            <w:noWrap/>
            <w:vAlign w:val="bottom"/>
          </w:tcPr>
          <w:p w14:paraId="7DE16F9E" w14:textId="3D0E8EFE"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22,885.0</w:t>
            </w:r>
          </w:p>
        </w:tc>
        <w:tc>
          <w:tcPr>
            <w:tcW w:w="420" w:type="pct"/>
            <w:tcBorders>
              <w:top w:val="nil"/>
              <w:left w:val="nil"/>
              <w:bottom w:val="nil"/>
              <w:right w:val="nil"/>
            </w:tcBorders>
            <w:shd w:val="clear" w:color="000000" w:fill="FFFFFF"/>
            <w:noWrap/>
            <w:vAlign w:val="bottom"/>
          </w:tcPr>
          <w:p w14:paraId="4C8405C5" w14:textId="72907B9D"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22,885.0</w:t>
            </w:r>
          </w:p>
        </w:tc>
        <w:tc>
          <w:tcPr>
            <w:tcW w:w="420" w:type="pct"/>
            <w:tcBorders>
              <w:top w:val="nil"/>
              <w:left w:val="nil"/>
              <w:bottom w:val="nil"/>
              <w:right w:val="nil"/>
            </w:tcBorders>
            <w:shd w:val="clear" w:color="000000" w:fill="FFFFFF"/>
            <w:noWrap/>
            <w:vAlign w:val="bottom"/>
          </w:tcPr>
          <w:p w14:paraId="7FDE3CB1" w14:textId="2BE331F8"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31,597.0</w:t>
            </w:r>
          </w:p>
        </w:tc>
        <w:tc>
          <w:tcPr>
            <w:tcW w:w="420" w:type="pct"/>
            <w:tcBorders>
              <w:top w:val="nil"/>
              <w:left w:val="nil"/>
              <w:bottom w:val="nil"/>
              <w:right w:val="nil"/>
            </w:tcBorders>
            <w:shd w:val="clear" w:color="000000" w:fill="FFFFFF"/>
            <w:noWrap/>
            <w:vAlign w:val="bottom"/>
          </w:tcPr>
          <w:p w14:paraId="0BCB423F" w14:textId="4600BB5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0FB92CC1" w14:textId="252057BE"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4DF68EA0" w14:textId="64D2EB0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6,345.0</w:t>
            </w:r>
          </w:p>
        </w:tc>
        <w:tc>
          <w:tcPr>
            <w:tcW w:w="420" w:type="pct"/>
            <w:tcBorders>
              <w:top w:val="nil"/>
              <w:left w:val="nil"/>
              <w:bottom w:val="nil"/>
              <w:right w:val="nil"/>
            </w:tcBorders>
            <w:shd w:val="clear" w:color="000000" w:fill="FFFFFF"/>
            <w:noWrap/>
            <w:vAlign w:val="bottom"/>
          </w:tcPr>
          <w:p w14:paraId="06CA77E8" w14:textId="0A8ECDE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22,406.0</w:t>
            </w:r>
          </w:p>
        </w:tc>
        <w:tc>
          <w:tcPr>
            <w:tcW w:w="420" w:type="pct"/>
            <w:tcBorders>
              <w:top w:val="nil"/>
              <w:left w:val="nil"/>
              <w:bottom w:val="nil"/>
              <w:right w:val="nil"/>
            </w:tcBorders>
            <w:shd w:val="clear" w:color="000000" w:fill="FFFFFF"/>
            <w:noWrap/>
            <w:vAlign w:val="bottom"/>
          </w:tcPr>
          <w:p w14:paraId="2066A25A" w14:textId="237CC08D"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22,406.0</w:t>
            </w:r>
          </w:p>
        </w:tc>
      </w:tr>
      <w:tr w:rsidR="004463E3" w:rsidRPr="00BE1566" w14:paraId="2EE407ED" w14:textId="77777777" w:rsidTr="00D96D89">
        <w:trPr>
          <w:trHeight w:val="315"/>
        </w:trPr>
        <w:tc>
          <w:tcPr>
            <w:tcW w:w="800" w:type="pct"/>
            <w:tcBorders>
              <w:top w:val="nil"/>
              <w:left w:val="nil"/>
              <w:bottom w:val="nil"/>
              <w:right w:val="nil"/>
            </w:tcBorders>
            <w:shd w:val="clear" w:color="000000" w:fill="FFFFFF"/>
            <w:noWrap/>
            <w:vAlign w:val="bottom"/>
            <w:hideMark/>
          </w:tcPr>
          <w:p w14:paraId="6AF18B23"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ERTs Transferred In</w:t>
            </w:r>
          </w:p>
        </w:tc>
        <w:tc>
          <w:tcPr>
            <w:tcW w:w="420" w:type="pct"/>
            <w:tcBorders>
              <w:top w:val="nil"/>
              <w:left w:val="nil"/>
              <w:bottom w:val="nil"/>
              <w:right w:val="nil"/>
            </w:tcBorders>
            <w:shd w:val="clear" w:color="000000" w:fill="FFFFFF"/>
            <w:noWrap/>
            <w:vAlign w:val="bottom"/>
          </w:tcPr>
          <w:p w14:paraId="79D45986" w14:textId="03F3A137"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627B574C" w14:textId="347C731A"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30D0F4EC" w14:textId="2558882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5B50D44E" w14:textId="506C4CF5"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46ED949E" w14:textId="65D1387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236B5AE6" w14:textId="266FB81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688AF9CD" w14:textId="26F65786"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369E1BEB" w14:textId="53886B3F"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6AA1D62B" w14:textId="3387393D"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5DA21A9E" w14:textId="65AB9B78"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r>
      <w:tr w:rsidR="004463E3" w:rsidRPr="00BE1566" w14:paraId="62B7E0D1" w14:textId="77777777" w:rsidTr="00D96D89">
        <w:trPr>
          <w:trHeight w:val="315"/>
        </w:trPr>
        <w:tc>
          <w:tcPr>
            <w:tcW w:w="800" w:type="pct"/>
            <w:tcBorders>
              <w:top w:val="nil"/>
              <w:left w:val="nil"/>
              <w:bottom w:val="nil"/>
              <w:right w:val="nil"/>
            </w:tcBorders>
            <w:shd w:val="clear" w:color="000000" w:fill="FFFFFF"/>
            <w:noWrap/>
            <w:vAlign w:val="bottom"/>
            <w:hideMark/>
          </w:tcPr>
          <w:p w14:paraId="7D10D17B"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ERTs Transferred Out</w:t>
            </w:r>
          </w:p>
        </w:tc>
        <w:tc>
          <w:tcPr>
            <w:tcW w:w="420" w:type="pct"/>
            <w:tcBorders>
              <w:top w:val="nil"/>
              <w:left w:val="nil"/>
              <w:bottom w:val="nil"/>
              <w:right w:val="nil"/>
            </w:tcBorders>
            <w:shd w:val="clear" w:color="000000" w:fill="FFFFFF"/>
            <w:noWrap/>
            <w:vAlign w:val="bottom"/>
          </w:tcPr>
          <w:p w14:paraId="2194D335" w14:textId="0378414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65776D12" w14:textId="376D3635"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31A03D0E" w14:textId="73C55AEE"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6B53230A" w14:textId="753E47D5"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6F74387B" w14:textId="71569B7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58A7BEA5" w14:textId="2296B2B2"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36499270" w14:textId="0A520C6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3F83AC01" w14:textId="08B214E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396A699F" w14:textId="32D77FDC"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4262C8A3" w14:textId="1050F46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r>
      <w:tr w:rsidR="004463E3" w:rsidRPr="00BE1566" w14:paraId="4686C179" w14:textId="77777777" w:rsidTr="00D96D89">
        <w:trPr>
          <w:trHeight w:val="315"/>
        </w:trPr>
        <w:tc>
          <w:tcPr>
            <w:tcW w:w="800" w:type="pct"/>
            <w:tcBorders>
              <w:top w:val="nil"/>
              <w:left w:val="nil"/>
              <w:bottom w:val="nil"/>
              <w:right w:val="nil"/>
            </w:tcBorders>
            <w:shd w:val="clear" w:color="000000" w:fill="FFFFFF"/>
            <w:noWrap/>
            <w:vAlign w:val="bottom"/>
            <w:hideMark/>
          </w:tcPr>
          <w:p w14:paraId="43389654"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ERTs Retired</w:t>
            </w:r>
          </w:p>
        </w:tc>
        <w:tc>
          <w:tcPr>
            <w:tcW w:w="420" w:type="pct"/>
            <w:tcBorders>
              <w:top w:val="nil"/>
              <w:left w:val="nil"/>
              <w:bottom w:val="nil"/>
              <w:right w:val="nil"/>
            </w:tcBorders>
            <w:shd w:val="clear" w:color="000000" w:fill="FFFFFF"/>
            <w:noWrap/>
            <w:vAlign w:val="bottom"/>
          </w:tcPr>
          <w:p w14:paraId="4D855D95" w14:textId="0CBC4F2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1063F7DF" w14:textId="2F359F87"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6628D836" w14:textId="3735CA65"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47FB8448" w14:textId="25A2620E"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170E90E1" w14:textId="61987300"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24D8CF99" w14:textId="30809E8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2CA0DB7A" w14:textId="514E0DC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3210A852" w14:textId="3A73BE1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441612D4" w14:textId="054FA18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1DDD1BF8" w14:textId="5AF40AC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r>
      <w:tr w:rsidR="004463E3" w:rsidRPr="00BE1566" w14:paraId="2CAD9C0D" w14:textId="77777777" w:rsidTr="00D96D89">
        <w:trPr>
          <w:trHeight w:val="315"/>
        </w:trPr>
        <w:tc>
          <w:tcPr>
            <w:tcW w:w="800" w:type="pct"/>
            <w:tcBorders>
              <w:top w:val="nil"/>
              <w:left w:val="nil"/>
              <w:bottom w:val="nil"/>
              <w:right w:val="nil"/>
            </w:tcBorders>
            <w:shd w:val="clear" w:color="000000" w:fill="FFFFFF"/>
            <w:noWrap/>
            <w:vAlign w:val="bottom"/>
            <w:hideMark/>
          </w:tcPr>
          <w:p w14:paraId="3AB92AA1"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Tradable Balance at time t</w:t>
            </w:r>
          </w:p>
        </w:tc>
        <w:tc>
          <w:tcPr>
            <w:tcW w:w="420" w:type="pct"/>
            <w:tcBorders>
              <w:top w:val="nil"/>
              <w:left w:val="nil"/>
              <w:bottom w:val="nil"/>
              <w:right w:val="nil"/>
            </w:tcBorders>
            <w:shd w:val="clear" w:color="000000" w:fill="FFFFFF"/>
            <w:noWrap/>
            <w:vAlign w:val="bottom"/>
          </w:tcPr>
          <w:p w14:paraId="751F6FE5" w14:textId="5F4EA5F2"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13,292.0</w:t>
            </w:r>
          </w:p>
        </w:tc>
        <w:tc>
          <w:tcPr>
            <w:tcW w:w="420" w:type="pct"/>
            <w:tcBorders>
              <w:top w:val="nil"/>
              <w:left w:val="nil"/>
              <w:bottom w:val="nil"/>
              <w:right w:val="nil"/>
            </w:tcBorders>
            <w:shd w:val="clear" w:color="000000" w:fill="FFFFFF"/>
            <w:noWrap/>
            <w:vAlign w:val="bottom"/>
          </w:tcPr>
          <w:p w14:paraId="521496D5" w14:textId="6741287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22,885.0</w:t>
            </w:r>
          </w:p>
        </w:tc>
        <w:tc>
          <w:tcPr>
            <w:tcW w:w="420" w:type="pct"/>
            <w:tcBorders>
              <w:top w:val="nil"/>
              <w:left w:val="nil"/>
              <w:bottom w:val="nil"/>
              <w:right w:val="nil"/>
            </w:tcBorders>
            <w:shd w:val="clear" w:color="000000" w:fill="FFFFFF"/>
            <w:noWrap/>
            <w:vAlign w:val="bottom"/>
          </w:tcPr>
          <w:p w14:paraId="7AEB3FEB" w14:textId="49B9C76D"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22,885.0</w:t>
            </w:r>
          </w:p>
        </w:tc>
        <w:tc>
          <w:tcPr>
            <w:tcW w:w="420" w:type="pct"/>
            <w:tcBorders>
              <w:top w:val="nil"/>
              <w:left w:val="nil"/>
              <w:bottom w:val="nil"/>
              <w:right w:val="nil"/>
            </w:tcBorders>
            <w:shd w:val="clear" w:color="000000" w:fill="FFFFFF"/>
            <w:noWrap/>
            <w:vAlign w:val="bottom"/>
          </w:tcPr>
          <w:p w14:paraId="2E0012B5" w14:textId="77247FE7"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22,885.0</w:t>
            </w:r>
          </w:p>
        </w:tc>
        <w:tc>
          <w:tcPr>
            <w:tcW w:w="420" w:type="pct"/>
            <w:tcBorders>
              <w:top w:val="nil"/>
              <w:left w:val="nil"/>
              <w:bottom w:val="nil"/>
              <w:right w:val="nil"/>
            </w:tcBorders>
            <w:shd w:val="clear" w:color="000000" w:fill="FFFFFF"/>
            <w:noWrap/>
            <w:vAlign w:val="bottom"/>
          </w:tcPr>
          <w:p w14:paraId="53DA78CD" w14:textId="4E4BC2EB"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31,597.0</w:t>
            </w:r>
          </w:p>
        </w:tc>
        <w:tc>
          <w:tcPr>
            <w:tcW w:w="420" w:type="pct"/>
            <w:tcBorders>
              <w:top w:val="nil"/>
              <w:left w:val="nil"/>
              <w:bottom w:val="nil"/>
              <w:right w:val="nil"/>
            </w:tcBorders>
            <w:shd w:val="clear" w:color="000000" w:fill="FFFFFF"/>
            <w:noWrap/>
            <w:vAlign w:val="bottom"/>
          </w:tcPr>
          <w:p w14:paraId="7F594283" w14:textId="4B8190E7"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1E5986F7" w14:textId="44A0DE76"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0.0</w:t>
            </w:r>
          </w:p>
        </w:tc>
        <w:tc>
          <w:tcPr>
            <w:tcW w:w="420" w:type="pct"/>
            <w:tcBorders>
              <w:top w:val="nil"/>
              <w:left w:val="nil"/>
              <w:bottom w:val="nil"/>
              <w:right w:val="nil"/>
            </w:tcBorders>
            <w:shd w:val="clear" w:color="000000" w:fill="FFFFFF"/>
            <w:noWrap/>
            <w:vAlign w:val="bottom"/>
          </w:tcPr>
          <w:p w14:paraId="6B9B7071" w14:textId="6A8327F6"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6,345.0</w:t>
            </w:r>
          </w:p>
        </w:tc>
        <w:tc>
          <w:tcPr>
            <w:tcW w:w="420" w:type="pct"/>
            <w:tcBorders>
              <w:top w:val="nil"/>
              <w:left w:val="nil"/>
              <w:bottom w:val="nil"/>
              <w:right w:val="nil"/>
            </w:tcBorders>
            <w:shd w:val="clear" w:color="000000" w:fill="FFFFFF"/>
            <w:noWrap/>
            <w:vAlign w:val="bottom"/>
          </w:tcPr>
          <w:p w14:paraId="4535A087" w14:textId="44A0F311"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22,406.0</w:t>
            </w:r>
          </w:p>
        </w:tc>
        <w:tc>
          <w:tcPr>
            <w:tcW w:w="420" w:type="pct"/>
            <w:tcBorders>
              <w:top w:val="nil"/>
              <w:left w:val="nil"/>
              <w:bottom w:val="nil"/>
              <w:right w:val="nil"/>
            </w:tcBorders>
            <w:shd w:val="clear" w:color="000000" w:fill="FFFFFF"/>
            <w:noWrap/>
            <w:vAlign w:val="bottom"/>
          </w:tcPr>
          <w:p w14:paraId="355C3016" w14:textId="6D999FD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22,406.0</w:t>
            </w:r>
          </w:p>
        </w:tc>
      </w:tr>
      <w:tr w:rsidR="004463E3" w:rsidRPr="00BE1566" w14:paraId="4013314D" w14:textId="77777777" w:rsidTr="00D96D89">
        <w:trPr>
          <w:trHeight w:val="323"/>
        </w:trPr>
        <w:tc>
          <w:tcPr>
            <w:tcW w:w="800" w:type="pct"/>
            <w:tcBorders>
              <w:top w:val="single" w:sz="4" w:space="0" w:color="auto"/>
              <w:left w:val="nil"/>
              <w:bottom w:val="single" w:sz="8" w:space="0" w:color="auto"/>
              <w:right w:val="nil"/>
            </w:tcBorders>
            <w:shd w:val="clear" w:color="000000" w:fill="FFFFFF"/>
            <w:noWrap/>
            <w:vAlign w:val="bottom"/>
            <w:hideMark/>
          </w:tcPr>
          <w:p w14:paraId="1B487352" w14:textId="77777777" w:rsidR="004463E3" w:rsidRPr="00BE1566" w:rsidRDefault="004463E3" w:rsidP="004463E3">
            <w:pPr>
              <w:spacing w:after="0" w:line="240" w:lineRule="auto"/>
              <w:rPr>
                <w:rFonts w:ascii="Calibri" w:eastAsia="Times New Roman" w:hAnsi="Calibri" w:cs="Calibri"/>
                <w:color w:val="000000"/>
                <w:sz w:val="16"/>
                <w:szCs w:val="16"/>
              </w:rPr>
            </w:pPr>
            <w:r w:rsidRPr="00BE1566">
              <w:rPr>
                <w:rFonts w:ascii="Calibri" w:eastAsia="Times New Roman" w:hAnsi="Calibri" w:cs="Calibri"/>
                <w:color w:val="000000"/>
                <w:sz w:val="16"/>
                <w:szCs w:val="16"/>
              </w:rPr>
              <w:t>Total Tradable Balance</w:t>
            </w:r>
          </w:p>
        </w:tc>
        <w:tc>
          <w:tcPr>
            <w:tcW w:w="420" w:type="pct"/>
            <w:tcBorders>
              <w:top w:val="single" w:sz="4" w:space="0" w:color="auto"/>
              <w:left w:val="nil"/>
              <w:bottom w:val="single" w:sz="8" w:space="0" w:color="auto"/>
              <w:right w:val="nil"/>
            </w:tcBorders>
            <w:shd w:val="clear" w:color="000000" w:fill="FFFFFF"/>
            <w:noWrap/>
            <w:vAlign w:val="bottom"/>
          </w:tcPr>
          <w:p w14:paraId="65EC8070" w14:textId="39955AE3"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766,163.0</w:t>
            </w:r>
          </w:p>
        </w:tc>
        <w:tc>
          <w:tcPr>
            <w:tcW w:w="420" w:type="pct"/>
            <w:tcBorders>
              <w:top w:val="single" w:sz="4" w:space="0" w:color="auto"/>
              <w:left w:val="nil"/>
              <w:bottom w:val="single" w:sz="8" w:space="0" w:color="auto"/>
              <w:right w:val="nil"/>
            </w:tcBorders>
            <w:shd w:val="clear" w:color="000000" w:fill="FFFFFF"/>
            <w:noWrap/>
            <w:vAlign w:val="bottom"/>
          </w:tcPr>
          <w:p w14:paraId="3D08351C" w14:textId="31CC8C69"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789,048.0</w:t>
            </w:r>
          </w:p>
        </w:tc>
        <w:tc>
          <w:tcPr>
            <w:tcW w:w="420" w:type="pct"/>
            <w:tcBorders>
              <w:top w:val="single" w:sz="4" w:space="0" w:color="auto"/>
              <w:left w:val="nil"/>
              <w:bottom w:val="single" w:sz="8" w:space="0" w:color="auto"/>
              <w:right w:val="nil"/>
            </w:tcBorders>
            <w:shd w:val="clear" w:color="000000" w:fill="FFFFFF"/>
            <w:noWrap/>
            <w:vAlign w:val="bottom"/>
          </w:tcPr>
          <w:p w14:paraId="7EEA46A3" w14:textId="0F3358BC"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811,933.0</w:t>
            </w:r>
          </w:p>
        </w:tc>
        <w:tc>
          <w:tcPr>
            <w:tcW w:w="420" w:type="pct"/>
            <w:tcBorders>
              <w:top w:val="single" w:sz="4" w:space="0" w:color="auto"/>
              <w:left w:val="nil"/>
              <w:bottom w:val="single" w:sz="8" w:space="0" w:color="auto"/>
              <w:right w:val="nil"/>
            </w:tcBorders>
            <w:shd w:val="clear" w:color="000000" w:fill="FFFFFF"/>
            <w:noWrap/>
            <w:vAlign w:val="bottom"/>
          </w:tcPr>
          <w:p w14:paraId="7CA4E8C0" w14:textId="3FDFEDCD"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834,818.0</w:t>
            </w:r>
          </w:p>
        </w:tc>
        <w:tc>
          <w:tcPr>
            <w:tcW w:w="420" w:type="pct"/>
            <w:tcBorders>
              <w:top w:val="single" w:sz="4" w:space="0" w:color="auto"/>
              <w:left w:val="nil"/>
              <w:bottom w:val="single" w:sz="8" w:space="0" w:color="auto"/>
              <w:right w:val="nil"/>
            </w:tcBorders>
            <w:shd w:val="clear" w:color="000000" w:fill="FFFFFF"/>
            <w:noWrap/>
            <w:vAlign w:val="bottom"/>
          </w:tcPr>
          <w:p w14:paraId="5D821299" w14:textId="0CB2B295"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866,415.0</w:t>
            </w:r>
          </w:p>
        </w:tc>
        <w:tc>
          <w:tcPr>
            <w:tcW w:w="420" w:type="pct"/>
            <w:tcBorders>
              <w:top w:val="single" w:sz="4" w:space="0" w:color="auto"/>
              <w:left w:val="nil"/>
              <w:bottom w:val="single" w:sz="8" w:space="0" w:color="auto"/>
              <w:right w:val="nil"/>
            </w:tcBorders>
            <w:shd w:val="clear" w:color="000000" w:fill="FFFFFF"/>
            <w:noWrap/>
            <w:vAlign w:val="bottom"/>
          </w:tcPr>
          <w:p w14:paraId="6210535E" w14:textId="3E79C131"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866,415.0</w:t>
            </w:r>
          </w:p>
        </w:tc>
        <w:tc>
          <w:tcPr>
            <w:tcW w:w="420" w:type="pct"/>
            <w:tcBorders>
              <w:top w:val="single" w:sz="4" w:space="0" w:color="auto"/>
              <w:left w:val="nil"/>
              <w:bottom w:val="single" w:sz="8" w:space="0" w:color="auto"/>
              <w:right w:val="nil"/>
            </w:tcBorders>
            <w:shd w:val="clear" w:color="000000" w:fill="FFFFFF"/>
            <w:noWrap/>
            <w:vAlign w:val="bottom"/>
          </w:tcPr>
          <w:p w14:paraId="275B2A8C" w14:textId="5FF53E1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866,415.0</w:t>
            </w:r>
          </w:p>
        </w:tc>
        <w:tc>
          <w:tcPr>
            <w:tcW w:w="420" w:type="pct"/>
            <w:tcBorders>
              <w:top w:val="single" w:sz="4" w:space="0" w:color="auto"/>
              <w:left w:val="nil"/>
              <w:bottom w:val="single" w:sz="8" w:space="0" w:color="auto"/>
              <w:right w:val="nil"/>
            </w:tcBorders>
            <w:shd w:val="clear" w:color="000000" w:fill="FFFFFF"/>
            <w:noWrap/>
            <w:vAlign w:val="bottom"/>
          </w:tcPr>
          <w:p w14:paraId="6F7BF7D3" w14:textId="5E5B77D4"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872,760.0</w:t>
            </w:r>
          </w:p>
        </w:tc>
        <w:tc>
          <w:tcPr>
            <w:tcW w:w="420" w:type="pct"/>
            <w:tcBorders>
              <w:top w:val="single" w:sz="4" w:space="0" w:color="auto"/>
              <w:left w:val="nil"/>
              <w:bottom w:val="single" w:sz="8" w:space="0" w:color="auto"/>
              <w:right w:val="nil"/>
            </w:tcBorders>
            <w:shd w:val="clear" w:color="000000" w:fill="FFFFFF"/>
            <w:noWrap/>
            <w:vAlign w:val="bottom"/>
          </w:tcPr>
          <w:p w14:paraId="01DF57FC" w14:textId="7610F5CD"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895,166.0</w:t>
            </w:r>
          </w:p>
        </w:tc>
        <w:tc>
          <w:tcPr>
            <w:tcW w:w="420" w:type="pct"/>
            <w:tcBorders>
              <w:top w:val="single" w:sz="4" w:space="0" w:color="auto"/>
              <w:left w:val="nil"/>
              <w:bottom w:val="single" w:sz="8" w:space="0" w:color="auto"/>
              <w:right w:val="nil"/>
            </w:tcBorders>
            <w:shd w:val="clear" w:color="000000" w:fill="FFFFFF"/>
            <w:noWrap/>
            <w:vAlign w:val="bottom"/>
          </w:tcPr>
          <w:p w14:paraId="703F1B9C" w14:textId="03B2A7FF" w:rsidR="004463E3" w:rsidRPr="004463E3" w:rsidRDefault="004463E3" w:rsidP="004463E3">
            <w:pPr>
              <w:spacing w:after="0" w:line="240" w:lineRule="auto"/>
              <w:jc w:val="right"/>
              <w:rPr>
                <w:rFonts w:eastAsia="Times New Roman" w:cstheme="minorHAnsi"/>
                <w:color w:val="000000"/>
                <w:sz w:val="16"/>
                <w:szCs w:val="16"/>
              </w:rPr>
            </w:pPr>
            <w:r w:rsidRPr="00B40C92">
              <w:rPr>
                <w:rFonts w:cstheme="minorHAnsi"/>
                <w:color w:val="000000"/>
                <w:sz w:val="16"/>
                <w:szCs w:val="16"/>
              </w:rPr>
              <w:t>917,572.0</w:t>
            </w:r>
          </w:p>
        </w:tc>
      </w:tr>
    </w:tbl>
    <w:p w14:paraId="126D7A93" w14:textId="77777777" w:rsidR="00BE1566" w:rsidRDefault="00BE1566" w:rsidP="007344DF">
      <w:pPr>
        <w:rPr>
          <w:b/>
        </w:rPr>
      </w:pPr>
    </w:p>
    <w:p w14:paraId="0BDE63F0" w14:textId="5292EFB1" w:rsidR="00443354" w:rsidRDefault="00443354" w:rsidP="007344DF">
      <w:pPr>
        <w:rPr>
          <w:b/>
        </w:rPr>
      </w:pPr>
    </w:p>
    <w:p w14:paraId="6A022F8A" w14:textId="77777777" w:rsidR="00443354" w:rsidRDefault="00443354" w:rsidP="007344DF">
      <w:pPr>
        <w:rPr>
          <w:b/>
        </w:rPr>
      </w:pPr>
    </w:p>
    <w:p w14:paraId="1BF443DB" w14:textId="77777777" w:rsidR="007344DF" w:rsidRDefault="007344DF" w:rsidP="007344DF">
      <w:pPr>
        <w:rPr>
          <w:b/>
        </w:rPr>
      </w:pPr>
    </w:p>
    <w:p w14:paraId="7F8F58F0" w14:textId="77777777" w:rsidR="007344DF" w:rsidRDefault="007344DF" w:rsidP="007344DF">
      <w:pPr>
        <w:rPr>
          <w:b/>
        </w:rPr>
      </w:pPr>
    </w:p>
    <w:p w14:paraId="3953FA55" w14:textId="77777777" w:rsidR="007344DF" w:rsidRDefault="007344DF" w:rsidP="007344DF">
      <w:pPr>
        <w:rPr>
          <w:iCs/>
        </w:rPr>
      </w:pPr>
    </w:p>
    <w:p w14:paraId="65B7651F" w14:textId="77777777" w:rsidR="007344DF" w:rsidRDefault="007344DF" w:rsidP="007344DF">
      <w:pPr>
        <w:rPr>
          <w:iCs/>
        </w:rPr>
        <w:sectPr w:rsidR="007344DF" w:rsidSect="00A16F26">
          <w:pgSz w:w="15840" w:h="12240" w:orient="landscape"/>
          <w:pgMar w:top="1440" w:right="1440" w:bottom="1440" w:left="1440" w:header="720" w:footer="720" w:gutter="0"/>
          <w:cols w:space="720"/>
          <w:docGrid w:linePitch="360"/>
        </w:sectPr>
      </w:pPr>
    </w:p>
    <w:p w14:paraId="47AF32B9" w14:textId="77777777" w:rsidR="007344DF" w:rsidRDefault="007344DF" w:rsidP="007344DF">
      <w:pPr>
        <w:rPr>
          <w:iCs/>
        </w:rPr>
      </w:pPr>
    </w:p>
    <w:p w14:paraId="6B0A7334" w14:textId="77777777" w:rsidR="007344DF" w:rsidRPr="00686F34" w:rsidRDefault="007344DF" w:rsidP="007344DF">
      <w:pPr>
        <w:pStyle w:val="Heading2"/>
        <w:rPr>
          <w:rFonts w:eastAsia="Times New Roman"/>
        </w:rPr>
      </w:pPr>
      <w:bookmarkStart w:id="39" w:name="_Toc482011530"/>
      <w:bookmarkStart w:id="40" w:name="_Toc2243511"/>
      <w:r w:rsidRPr="00686F34">
        <w:rPr>
          <w:rFonts w:eastAsia="Times New Roman"/>
        </w:rPr>
        <w:t>E6. EX-ANTE ESTIMATION METHODS</w:t>
      </w:r>
      <w:bookmarkEnd w:id="39"/>
      <w:bookmarkEnd w:id="40"/>
    </w:p>
    <w:p w14:paraId="3C2DD8B8" w14:textId="7A2EC01E" w:rsidR="002342EF" w:rsidRDefault="007344DF" w:rsidP="002342EF">
      <w:r>
        <w:t>Live tree carbon stocks in the with-</w:t>
      </w:r>
      <w:r w:rsidRPr="00E2069D">
        <w:t xml:space="preserve">project scenario </w:t>
      </w:r>
      <w:r w:rsidRPr="008D4DFD">
        <w:t xml:space="preserve">were projected </w:t>
      </w:r>
      <w:r w:rsidRPr="0016005C">
        <w:rPr>
          <w:i/>
        </w:rPr>
        <w:t>ex ante</w:t>
      </w:r>
      <w:r>
        <w:t xml:space="preserve"> </w:t>
      </w:r>
      <w:r w:rsidRPr="008D4DFD">
        <w:t xml:space="preserve">in </w:t>
      </w:r>
      <w:r w:rsidR="00920365">
        <w:t>FVS-SN</w:t>
      </w:r>
      <w:r w:rsidR="00686F34">
        <w:t xml:space="preserve"> for the period 2020 to 2039</w:t>
      </w:r>
      <w:r w:rsidRPr="008D4DFD">
        <w:t xml:space="preserve">. </w:t>
      </w:r>
      <w:r w:rsidR="002342EF">
        <w:t>Management scenarios were developed with input from University of Tennessee forest managers, and entail predominantly even-aged management via limited clearcuts totaling on average 400 acres harvested every 5 years. The HR_RG stratum is not harvested.</w:t>
      </w:r>
      <w:r w:rsidR="00C15EF4">
        <w:t xml:space="preserve"> Regeneration was modeled via sprouting.</w:t>
      </w:r>
    </w:p>
    <w:p w14:paraId="045753F4" w14:textId="0C657DB5" w:rsidR="00561A20" w:rsidRDefault="007344DF" w:rsidP="007344DF">
      <w:r w:rsidRPr="008D4DFD">
        <w:t>Projections were annualized using linear interpolation</w:t>
      </w:r>
      <w:r>
        <w:t xml:space="preserve">; see </w:t>
      </w:r>
      <w:r>
        <w:rPr>
          <w:rFonts w:cstheme="minorHAnsi"/>
        </w:rPr>
        <w:t xml:space="preserve">“wp </w:t>
      </w:r>
      <w:r w:rsidRPr="0013353F">
        <w:rPr>
          <w:rFonts w:cstheme="minorHAnsi"/>
        </w:rPr>
        <w:t>live tree proj</w:t>
      </w:r>
      <w:r w:rsidR="007058C1">
        <w:rPr>
          <w:rFonts w:cstheme="minorHAnsi"/>
        </w:rPr>
        <w:t xml:space="preserve"> </w:t>
      </w:r>
      <w:r w:rsidR="00686F34">
        <w:rPr>
          <w:rFonts w:cstheme="minorHAnsi"/>
        </w:rPr>
        <w:t>UT</w:t>
      </w:r>
      <w:r w:rsidR="00AD0484">
        <w:rPr>
          <w:rFonts w:cstheme="minorHAnsi"/>
        </w:rPr>
        <w:t>*</w:t>
      </w:r>
      <w:r>
        <w:rPr>
          <w:rFonts w:cstheme="minorHAnsi"/>
        </w:rPr>
        <w:t>.xls”</w:t>
      </w:r>
      <w:r w:rsidR="003A6AC3">
        <w:rPr>
          <w:rFonts w:cstheme="minorHAnsi"/>
        </w:rPr>
        <w:t xml:space="preserve"> and “wp hwp </w:t>
      </w:r>
      <w:r w:rsidR="003A6AC3" w:rsidRPr="0013353F">
        <w:rPr>
          <w:rFonts w:cstheme="minorHAnsi"/>
        </w:rPr>
        <w:t>proj</w:t>
      </w:r>
      <w:r w:rsidR="003A6AC3">
        <w:rPr>
          <w:rFonts w:cstheme="minorHAnsi"/>
        </w:rPr>
        <w:t xml:space="preserve"> UT</w:t>
      </w:r>
      <w:r w:rsidR="00AD0484">
        <w:rPr>
          <w:rFonts w:cstheme="minorHAnsi"/>
        </w:rPr>
        <w:t>*</w:t>
      </w:r>
      <w:r w:rsidR="003A6AC3">
        <w:rPr>
          <w:rFonts w:cstheme="minorHAnsi"/>
        </w:rPr>
        <w:t>.xls”</w:t>
      </w:r>
      <w:r>
        <w:rPr>
          <w:rFonts w:cstheme="minorHAnsi"/>
        </w:rPr>
        <w:t>.</w:t>
      </w:r>
      <w:r>
        <w:t xml:space="preserve"> Direct biomass c</w:t>
      </w:r>
      <w:r w:rsidRPr="008D4DFD">
        <w:t xml:space="preserve">arbon estimates for live trees </w:t>
      </w:r>
      <w:r>
        <w:t xml:space="preserve">were output via FVS FFE carbon reports, using Jenkins et al 2003 biomass predictions in </w:t>
      </w:r>
      <w:r w:rsidRPr="00364F93">
        <w:t>metric tons of carbon per acre, again, matching the calculations applied to the forest inventory measurements</w:t>
      </w:r>
      <w:r w:rsidR="00561A20">
        <w:t>, and applying defect as described above</w:t>
      </w:r>
      <w:r w:rsidRPr="00364F93">
        <w:t xml:space="preserve">. </w:t>
      </w:r>
    </w:p>
    <w:p w14:paraId="13889AC0" w14:textId="08E03F36" w:rsidR="007344DF" w:rsidRDefault="007344DF" w:rsidP="007344DF">
      <w:r w:rsidRPr="00364F93">
        <w:t>Stocks</w:t>
      </w:r>
      <w:r>
        <w:t xml:space="preserve"> of standing dead wood are assumed to be constant through the period.</w:t>
      </w:r>
    </w:p>
    <w:p w14:paraId="36DE83F1" w14:textId="1A7F72B7" w:rsidR="007344DF" w:rsidRDefault="007344DF" w:rsidP="007344DF">
      <w:r w:rsidRPr="00185425">
        <w:t xml:space="preserve">Projections of the with-project scenario are summarized in </w:t>
      </w:r>
      <w:r w:rsidR="00680DB8">
        <w:t>T</w:t>
      </w:r>
      <w:r>
        <w:t xml:space="preserve">able </w:t>
      </w:r>
      <w:r w:rsidR="00C77F0D">
        <w:t>E12</w:t>
      </w:r>
      <w:r w:rsidR="00680DB8">
        <w:t xml:space="preserve"> </w:t>
      </w:r>
      <w:r>
        <w:t>below</w:t>
      </w:r>
      <w:r w:rsidRPr="00185425">
        <w:t>.</w:t>
      </w:r>
    </w:p>
    <w:p w14:paraId="57ED3028" w14:textId="14240B5F" w:rsidR="007344DF" w:rsidRPr="005E1B22" w:rsidRDefault="00C77F0D" w:rsidP="007344DF">
      <w:pPr>
        <w:rPr>
          <w:b/>
        </w:rPr>
      </w:pPr>
      <w:r>
        <w:rPr>
          <w:b/>
        </w:rPr>
        <w:t>Table E12</w:t>
      </w:r>
      <w:r w:rsidR="00680DB8">
        <w:rPr>
          <w:b/>
        </w:rPr>
        <w:t xml:space="preserve">. </w:t>
      </w:r>
      <w:r w:rsidR="007344DF" w:rsidRPr="00E025BE">
        <w:rPr>
          <w:b/>
        </w:rPr>
        <w:t>Projections of live tree</w:t>
      </w:r>
      <w:r w:rsidR="007344DF">
        <w:rPr>
          <w:b/>
        </w:rPr>
        <w:t>, standing dead wood</w:t>
      </w:r>
      <w:r w:rsidR="007344DF" w:rsidRPr="00E025BE">
        <w:rPr>
          <w:b/>
        </w:rPr>
        <w:t xml:space="preserve"> and harvested wood products carbon stocks in the project area in the </w:t>
      </w:r>
      <w:r w:rsidR="007344DF">
        <w:rPr>
          <w:b/>
        </w:rPr>
        <w:t xml:space="preserve">with-project </w:t>
      </w:r>
      <w:r w:rsidR="007344DF" w:rsidRPr="00E025BE">
        <w:rPr>
          <w:b/>
        </w:rPr>
        <w:t xml:space="preserve">scenario for the </w:t>
      </w:r>
      <w:r w:rsidR="007344DF">
        <w:rPr>
          <w:b/>
        </w:rPr>
        <w:t>fir</w:t>
      </w:r>
      <w:r w:rsidR="00EA6C48">
        <w:rPr>
          <w:b/>
        </w:rPr>
        <w:t xml:space="preserve">st crediting period from </w:t>
      </w:r>
      <w:r w:rsidR="006D010F">
        <w:rPr>
          <w:b/>
        </w:rPr>
        <w:t>2020 to 2039</w:t>
      </w:r>
      <w:r w:rsidR="007344DF" w:rsidRPr="00E025BE">
        <w:rPr>
          <w:b/>
        </w:rPr>
        <w:t xml:space="preserve">. </w:t>
      </w:r>
      <w:r w:rsidR="00682676" w:rsidRPr="00616DAD">
        <w:rPr>
          <w:b/>
        </w:rPr>
        <w:t xml:space="preserve">For the live tree and standing dead pools, stocks represent stocks </w:t>
      </w:r>
      <w:r w:rsidR="00682676">
        <w:rPr>
          <w:b/>
        </w:rPr>
        <w:t xml:space="preserve">at </w:t>
      </w:r>
      <w:r w:rsidR="006D010F">
        <w:rPr>
          <w:b/>
        </w:rPr>
        <w:t xml:space="preserve">November 26 </w:t>
      </w:r>
      <w:r w:rsidR="00682676" w:rsidRPr="00616DAD">
        <w:rPr>
          <w:b/>
        </w:rPr>
        <w:t xml:space="preserve">of the </w:t>
      </w:r>
      <w:r w:rsidR="006D010F">
        <w:rPr>
          <w:b/>
        </w:rPr>
        <w:t xml:space="preserve">previous </w:t>
      </w:r>
      <w:r w:rsidR="00682676" w:rsidRPr="00616DAD">
        <w:rPr>
          <w:b/>
        </w:rPr>
        <w:t xml:space="preserve">year. For harvested wood products (HWP), stocks represent stocks harvested </w:t>
      </w:r>
      <w:r w:rsidR="00682676">
        <w:rPr>
          <w:b/>
        </w:rPr>
        <w:t xml:space="preserve">in the annual interval </w:t>
      </w:r>
      <w:r w:rsidR="006D010F">
        <w:rPr>
          <w:b/>
        </w:rPr>
        <w:t xml:space="preserve">ending November 25 </w:t>
      </w:r>
      <w:r w:rsidR="00682676" w:rsidRPr="00616DAD">
        <w:rPr>
          <w:b/>
        </w:rPr>
        <w:t xml:space="preserve">of the corresponding </w:t>
      </w:r>
      <w:r w:rsidR="00682676">
        <w:rPr>
          <w:b/>
        </w:rPr>
        <w:t xml:space="preserve">project </w:t>
      </w:r>
      <w:r w:rsidR="00682676" w:rsidRPr="00616DAD">
        <w:rPr>
          <w:b/>
        </w:rPr>
        <w:t>year.</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94"/>
        <w:gridCol w:w="1494"/>
        <w:gridCol w:w="1494"/>
        <w:gridCol w:w="1494"/>
      </w:tblGrid>
      <w:tr w:rsidR="007344DF" w14:paraId="4C9FA17E" w14:textId="77777777" w:rsidTr="00A16F26">
        <w:trPr>
          <w:trHeight w:val="871"/>
        </w:trPr>
        <w:tc>
          <w:tcPr>
            <w:tcW w:w="1494" w:type="dxa"/>
          </w:tcPr>
          <w:p w14:paraId="415D4BAB" w14:textId="77777777" w:rsidR="007344DF" w:rsidRDefault="007344DF" w:rsidP="00A16F26">
            <w:pPr>
              <w:autoSpaceDE w:val="0"/>
              <w:autoSpaceDN w:val="0"/>
              <w:adjustRightInd w:val="0"/>
              <w:rPr>
                <w:b/>
                <w:bCs/>
                <w:color w:val="000000"/>
              </w:rPr>
            </w:pPr>
            <w:r>
              <w:rPr>
                <w:b/>
                <w:bCs/>
                <w:color w:val="000000"/>
              </w:rPr>
              <w:t>Year</w:t>
            </w:r>
          </w:p>
        </w:tc>
        <w:tc>
          <w:tcPr>
            <w:tcW w:w="1494" w:type="dxa"/>
          </w:tcPr>
          <w:p w14:paraId="332CB07F" w14:textId="77777777" w:rsidR="007344DF" w:rsidRDefault="007344DF" w:rsidP="00A16F26">
            <w:pPr>
              <w:autoSpaceDE w:val="0"/>
              <w:autoSpaceDN w:val="0"/>
              <w:adjustRightInd w:val="0"/>
              <w:rPr>
                <w:b/>
                <w:bCs/>
                <w:color w:val="000000"/>
              </w:rPr>
            </w:pPr>
            <w:r>
              <w:rPr>
                <w:b/>
                <w:bCs/>
                <w:color w:val="000000"/>
              </w:rPr>
              <w:t>Live t CO2/acre</w:t>
            </w:r>
          </w:p>
        </w:tc>
        <w:tc>
          <w:tcPr>
            <w:tcW w:w="1494" w:type="dxa"/>
          </w:tcPr>
          <w:p w14:paraId="547BB5A7" w14:textId="77777777" w:rsidR="007344DF" w:rsidRPr="00C4697E" w:rsidRDefault="007344DF" w:rsidP="00A16F26">
            <w:pPr>
              <w:autoSpaceDE w:val="0"/>
              <w:autoSpaceDN w:val="0"/>
              <w:adjustRightInd w:val="0"/>
              <w:rPr>
                <w:b/>
                <w:bCs/>
                <w:color w:val="000000"/>
              </w:rPr>
            </w:pPr>
            <w:r w:rsidRPr="00C4697E">
              <w:rPr>
                <w:b/>
                <w:bCs/>
                <w:color w:val="000000"/>
              </w:rPr>
              <w:t>Standing dead t CO2/acre</w:t>
            </w:r>
          </w:p>
        </w:tc>
        <w:tc>
          <w:tcPr>
            <w:tcW w:w="1494" w:type="dxa"/>
          </w:tcPr>
          <w:p w14:paraId="28F4A661" w14:textId="77777777" w:rsidR="007344DF" w:rsidRDefault="007344DF" w:rsidP="00A16F26">
            <w:pPr>
              <w:autoSpaceDE w:val="0"/>
              <w:autoSpaceDN w:val="0"/>
              <w:adjustRightInd w:val="0"/>
              <w:rPr>
                <w:b/>
                <w:bCs/>
                <w:color w:val="000000"/>
              </w:rPr>
            </w:pPr>
            <w:r>
              <w:rPr>
                <w:b/>
                <w:bCs/>
                <w:color w:val="000000"/>
              </w:rPr>
              <w:t>total HWP t CO2</w:t>
            </w:r>
          </w:p>
        </w:tc>
      </w:tr>
      <w:tr w:rsidR="00C10DA7" w14:paraId="2FBF37FB" w14:textId="77777777" w:rsidTr="00A16F26">
        <w:trPr>
          <w:trHeight w:val="290"/>
        </w:trPr>
        <w:tc>
          <w:tcPr>
            <w:tcW w:w="1494" w:type="dxa"/>
            <w:vAlign w:val="bottom"/>
          </w:tcPr>
          <w:p w14:paraId="230338D7" w14:textId="6A07C1B5" w:rsidR="00C10DA7" w:rsidRDefault="00C10DA7" w:rsidP="00C10DA7">
            <w:pPr>
              <w:autoSpaceDE w:val="0"/>
              <w:autoSpaceDN w:val="0"/>
              <w:adjustRightInd w:val="0"/>
              <w:jc w:val="right"/>
              <w:rPr>
                <w:color w:val="000000"/>
              </w:rPr>
            </w:pPr>
            <w:r>
              <w:rPr>
                <w:rFonts w:ascii="Calibri" w:hAnsi="Calibri" w:cs="Calibri"/>
                <w:color w:val="000000"/>
              </w:rPr>
              <w:t>2020</w:t>
            </w:r>
          </w:p>
        </w:tc>
        <w:tc>
          <w:tcPr>
            <w:tcW w:w="1494" w:type="dxa"/>
            <w:vAlign w:val="bottom"/>
          </w:tcPr>
          <w:p w14:paraId="4DA85052" w14:textId="1B31EAE3" w:rsidR="00C10DA7" w:rsidRDefault="00C10DA7" w:rsidP="00C10DA7">
            <w:pPr>
              <w:autoSpaceDE w:val="0"/>
              <w:autoSpaceDN w:val="0"/>
              <w:adjustRightInd w:val="0"/>
              <w:jc w:val="right"/>
              <w:rPr>
                <w:color w:val="000000"/>
              </w:rPr>
            </w:pPr>
            <w:r>
              <w:rPr>
                <w:rFonts w:ascii="Calibri" w:hAnsi="Calibri" w:cs="Calibri"/>
                <w:color w:val="000000"/>
              </w:rPr>
              <w:t>194.5898</w:t>
            </w:r>
          </w:p>
        </w:tc>
        <w:tc>
          <w:tcPr>
            <w:tcW w:w="1494" w:type="dxa"/>
            <w:vAlign w:val="bottom"/>
          </w:tcPr>
          <w:p w14:paraId="4D1E26D1" w14:textId="33C7A9EA"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18C3EF47" w14:textId="3D365C63" w:rsidR="00C10DA7" w:rsidRDefault="00C10DA7" w:rsidP="00C10DA7">
            <w:pPr>
              <w:autoSpaceDE w:val="0"/>
              <w:autoSpaceDN w:val="0"/>
              <w:adjustRightInd w:val="0"/>
              <w:jc w:val="right"/>
              <w:rPr>
                <w:color w:val="000000"/>
              </w:rPr>
            </w:pPr>
            <w:r>
              <w:rPr>
                <w:rFonts w:ascii="Calibri" w:hAnsi="Calibri" w:cs="Calibri"/>
                <w:color w:val="000000"/>
              </w:rPr>
              <w:t xml:space="preserve">     10,852.62 </w:t>
            </w:r>
          </w:p>
        </w:tc>
      </w:tr>
      <w:tr w:rsidR="00C10DA7" w14:paraId="756096C2" w14:textId="77777777" w:rsidTr="00A16F26">
        <w:trPr>
          <w:trHeight w:val="290"/>
        </w:trPr>
        <w:tc>
          <w:tcPr>
            <w:tcW w:w="1494" w:type="dxa"/>
            <w:vAlign w:val="bottom"/>
          </w:tcPr>
          <w:p w14:paraId="55D37312" w14:textId="7EB54CB5" w:rsidR="00C10DA7" w:rsidRDefault="00C10DA7" w:rsidP="00C10DA7">
            <w:pPr>
              <w:autoSpaceDE w:val="0"/>
              <w:autoSpaceDN w:val="0"/>
              <w:adjustRightInd w:val="0"/>
              <w:jc w:val="right"/>
              <w:rPr>
                <w:color w:val="000000"/>
              </w:rPr>
            </w:pPr>
            <w:r>
              <w:rPr>
                <w:rFonts w:ascii="Calibri" w:hAnsi="Calibri" w:cs="Calibri"/>
                <w:color w:val="000000"/>
              </w:rPr>
              <w:t>2021</w:t>
            </w:r>
          </w:p>
        </w:tc>
        <w:tc>
          <w:tcPr>
            <w:tcW w:w="1494" w:type="dxa"/>
            <w:vAlign w:val="bottom"/>
          </w:tcPr>
          <w:p w14:paraId="2BF2600B" w14:textId="63EB953C" w:rsidR="00C10DA7" w:rsidRDefault="00C10DA7" w:rsidP="00C10DA7">
            <w:pPr>
              <w:autoSpaceDE w:val="0"/>
              <w:autoSpaceDN w:val="0"/>
              <w:adjustRightInd w:val="0"/>
              <w:jc w:val="right"/>
              <w:rPr>
                <w:color w:val="000000"/>
              </w:rPr>
            </w:pPr>
            <w:r>
              <w:rPr>
                <w:rFonts w:ascii="Calibri" w:hAnsi="Calibri" w:cs="Calibri"/>
                <w:color w:val="000000"/>
              </w:rPr>
              <w:t>191.5</w:t>
            </w:r>
          </w:p>
        </w:tc>
        <w:tc>
          <w:tcPr>
            <w:tcW w:w="1494" w:type="dxa"/>
            <w:vAlign w:val="bottom"/>
          </w:tcPr>
          <w:p w14:paraId="0C5B4C0F" w14:textId="3C2B148F"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2581888F" w14:textId="469951F4"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58D7C043" w14:textId="77777777" w:rsidTr="00A16F26">
        <w:trPr>
          <w:trHeight w:val="290"/>
        </w:trPr>
        <w:tc>
          <w:tcPr>
            <w:tcW w:w="1494" w:type="dxa"/>
            <w:vAlign w:val="bottom"/>
          </w:tcPr>
          <w:p w14:paraId="15849541" w14:textId="4AF3EF0C" w:rsidR="00C10DA7" w:rsidRDefault="00C10DA7" w:rsidP="00C10DA7">
            <w:pPr>
              <w:autoSpaceDE w:val="0"/>
              <w:autoSpaceDN w:val="0"/>
              <w:adjustRightInd w:val="0"/>
              <w:jc w:val="right"/>
              <w:rPr>
                <w:color w:val="000000"/>
              </w:rPr>
            </w:pPr>
            <w:r>
              <w:rPr>
                <w:rFonts w:ascii="Calibri" w:hAnsi="Calibri" w:cs="Calibri"/>
                <w:color w:val="000000"/>
              </w:rPr>
              <w:t>2022</w:t>
            </w:r>
          </w:p>
        </w:tc>
        <w:tc>
          <w:tcPr>
            <w:tcW w:w="1494" w:type="dxa"/>
            <w:vAlign w:val="bottom"/>
          </w:tcPr>
          <w:p w14:paraId="1A5E8CFF" w14:textId="05101270" w:rsidR="00C10DA7" w:rsidRDefault="00C10DA7" w:rsidP="00C10DA7">
            <w:pPr>
              <w:autoSpaceDE w:val="0"/>
              <w:autoSpaceDN w:val="0"/>
              <w:adjustRightInd w:val="0"/>
              <w:jc w:val="right"/>
              <w:rPr>
                <w:color w:val="000000"/>
              </w:rPr>
            </w:pPr>
            <w:r>
              <w:rPr>
                <w:rFonts w:ascii="Calibri" w:hAnsi="Calibri" w:cs="Calibri"/>
                <w:color w:val="000000"/>
              </w:rPr>
              <w:t>195.3</w:t>
            </w:r>
          </w:p>
        </w:tc>
        <w:tc>
          <w:tcPr>
            <w:tcW w:w="1494" w:type="dxa"/>
            <w:vAlign w:val="bottom"/>
          </w:tcPr>
          <w:p w14:paraId="3853D6D2" w14:textId="19FC8C3A"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03651B5F" w14:textId="76FFD4C5"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691A02A2" w14:textId="77777777" w:rsidTr="00A16F26">
        <w:trPr>
          <w:trHeight w:val="290"/>
        </w:trPr>
        <w:tc>
          <w:tcPr>
            <w:tcW w:w="1494" w:type="dxa"/>
            <w:vAlign w:val="bottom"/>
          </w:tcPr>
          <w:p w14:paraId="67F79F62" w14:textId="77E1995C" w:rsidR="00C10DA7" w:rsidRDefault="00C10DA7" w:rsidP="00C10DA7">
            <w:pPr>
              <w:autoSpaceDE w:val="0"/>
              <w:autoSpaceDN w:val="0"/>
              <w:adjustRightInd w:val="0"/>
              <w:jc w:val="right"/>
              <w:rPr>
                <w:color w:val="000000"/>
              </w:rPr>
            </w:pPr>
            <w:r>
              <w:rPr>
                <w:rFonts w:ascii="Calibri" w:hAnsi="Calibri" w:cs="Calibri"/>
                <w:color w:val="000000"/>
              </w:rPr>
              <w:t>2023</w:t>
            </w:r>
          </w:p>
        </w:tc>
        <w:tc>
          <w:tcPr>
            <w:tcW w:w="1494" w:type="dxa"/>
            <w:vAlign w:val="bottom"/>
          </w:tcPr>
          <w:p w14:paraId="21AA52A9" w14:textId="6DC10864" w:rsidR="00C10DA7" w:rsidRDefault="00C10DA7" w:rsidP="00C10DA7">
            <w:pPr>
              <w:autoSpaceDE w:val="0"/>
              <w:autoSpaceDN w:val="0"/>
              <w:adjustRightInd w:val="0"/>
              <w:jc w:val="right"/>
              <w:rPr>
                <w:color w:val="000000"/>
              </w:rPr>
            </w:pPr>
            <w:r>
              <w:rPr>
                <w:rFonts w:ascii="Calibri" w:hAnsi="Calibri" w:cs="Calibri"/>
                <w:color w:val="000000"/>
              </w:rPr>
              <w:t>199.1</w:t>
            </w:r>
          </w:p>
        </w:tc>
        <w:tc>
          <w:tcPr>
            <w:tcW w:w="1494" w:type="dxa"/>
            <w:vAlign w:val="bottom"/>
          </w:tcPr>
          <w:p w14:paraId="1E31F1FE" w14:textId="4095E4E6"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7D1D5385" w14:textId="60F34855"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79AC8814" w14:textId="77777777" w:rsidTr="00A16F26">
        <w:trPr>
          <w:trHeight w:val="290"/>
        </w:trPr>
        <w:tc>
          <w:tcPr>
            <w:tcW w:w="1494" w:type="dxa"/>
            <w:vAlign w:val="bottom"/>
          </w:tcPr>
          <w:p w14:paraId="25E401A8" w14:textId="094F79A5" w:rsidR="00C10DA7" w:rsidRDefault="00C10DA7" w:rsidP="00C10DA7">
            <w:pPr>
              <w:autoSpaceDE w:val="0"/>
              <w:autoSpaceDN w:val="0"/>
              <w:adjustRightInd w:val="0"/>
              <w:jc w:val="right"/>
              <w:rPr>
                <w:color w:val="000000"/>
              </w:rPr>
            </w:pPr>
            <w:r>
              <w:rPr>
                <w:rFonts w:ascii="Calibri" w:hAnsi="Calibri" w:cs="Calibri"/>
                <w:color w:val="000000"/>
              </w:rPr>
              <w:t>2024</w:t>
            </w:r>
          </w:p>
        </w:tc>
        <w:tc>
          <w:tcPr>
            <w:tcW w:w="1494" w:type="dxa"/>
            <w:vAlign w:val="bottom"/>
          </w:tcPr>
          <w:p w14:paraId="372046B9" w14:textId="7BA14D82" w:rsidR="00C10DA7" w:rsidRDefault="00C10DA7" w:rsidP="00C10DA7">
            <w:pPr>
              <w:autoSpaceDE w:val="0"/>
              <w:autoSpaceDN w:val="0"/>
              <w:adjustRightInd w:val="0"/>
              <w:jc w:val="right"/>
              <w:rPr>
                <w:color w:val="000000"/>
              </w:rPr>
            </w:pPr>
            <w:r>
              <w:rPr>
                <w:rFonts w:ascii="Calibri" w:hAnsi="Calibri" w:cs="Calibri"/>
                <w:color w:val="000000"/>
              </w:rPr>
              <w:t>202.9</w:t>
            </w:r>
          </w:p>
        </w:tc>
        <w:tc>
          <w:tcPr>
            <w:tcW w:w="1494" w:type="dxa"/>
            <w:vAlign w:val="bottom"/>
          </w:tcPr>
          <w:p w14:paraId="6C4605FD" w14:textId="614321F2"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5560B27F" w14:textId="58D5D519"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16EA96C4" w14:textId="77777777" w:rsidTr="00A16F26">
        <w:trPr>
          <w:trHeight w:val="290"/>
        </w:trPr>
        <w:tc>
          <w:tcPr>
            <w:tcW w:w="1494" w:type="dxa"/>
            <w:vAlign w:val="bottom"/>
          </w:tcPr>
          <w:p w14:paraId="6AED4E37" w14:textId="32AD3A8D" w:rsidR="00C10DA7" w:rsidRDefault="00C10DA7" w:rsidP="00C10DA7">
            <w:pPr>
              <w:autoSpaceDE w:val="0"/>
              <w:autoSpaceDN w:val="0"/>
              <w:adjustRightInd w:val="0"/>
              <w:jc w:val="right"/>
              <w:rPr>
                <w:color w:val="000000"/>
              </w:rPr>
            </w:pPr>
            <w:r>
              <w:rPr>
                <w:rFonts w:ascii="Calibri" w:hAnsi="Calibri" w:cs="Calibri"/>
                <w:color w:val="000000"/>
              </w:rPr>
              <w:t>2025</w:t>
            </w:r>
          </w:p>
        </w:tc>
        <w:tc>
          <w:tcPr>
            <w:tcW w:w="1494" w:type="dxa"/>
            <w:vAlign w:val="bottom"/>
          </w:tcPr>
          <w:p w14:paraId="2CDE8400" w14:textId="56DEFC0E" w:rsidR="00C10DA7" w:rsidRDefault="00C10DA7" w:rsidP="00C10DA7">
            <w:pPr>
              <w:autoSpaceDE w:val="0"/>
              <w:autoSpaceDN w:val="0"/>
              <w:adjustRightInd w:val="0"/>
              <w:jc w:val="right"/>
              <w:rPr>
                <w:color w:val="000000"/>
              </w:rPr>
            </w:pPr>
            <w:r>
              <w:rPr>
                <w:rFonts w:ascii="Calibri" w:hAnsi="Calibri" w:cs="Calibri"/>
                <w:color w:val="000000"/>
              </w:rPr>
              <w:t>206.7</w:t>
            </w:r>
          </w:p>
        </w:tc>
        <w:tc>
          <w:tcPr>
            <w:tcW w:w="1494" w:type="dxa"/>
            <w:vAlign w:val="bottom"/>
          </w:tcPr>
          <w:p w14:paraId="6F7ABCC1" w14:textId="00C6DA7B"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52A82043" w14:textId="25030043" w:rsidR="00C10DA7" w:rsidRDefault="00C10DA7" w:rsidP="00C10DA7">
            <w:pPr>
              <w:autoSpaceDE w:val="0"/>
              <w:autoSpaceDN w:val="0"/>
              <w:adjustRightInd w:val="0"/>
              <w:jc w:val="right"/>
              <w:rPr>
                <w:color w:val="000000"/>
              </w:rPr>
            </w:pPr>
            <w:r>
              <w:rPr>
                <w:rFonts w:ascii="Calibri" w:hAnsi="Calibri" w:cs="Calibri"/>
                <w:color w:val="000000"/>
              </w:rPr>
              <w:t xml:space="preserve">     12,076.30 </w:t>
            </w:r>
          </w:p>
        </w:tc>
      </w:tr>
      <w:tr w:rsidR="00C10DA7" w14:paraId="75DEEC63" w14:textId="77777777" w:rsidTr="00A16F26">
        <w:trPr>
          <w:trHeight w:val="290"/>
        </w:trPr>
        <w:tc>
          <w:tcPr>
            <w:tcW w:w="1494" w:type="dxa"/>
            <w:vAlign w:val="bottom"/>
          </w:tcPr>
          <w:p w14:paraId="40A68A4F" w14:textId="54183B4F" w:rsidR="00C10DA7" w:rsidRDefault="00C10DA7" w:rsidP="00C10DA7">
            <w:pPr>
              <w:autoSpaceDE w:val="0"/>
              <w:autoSpaceDN w:val="0"/>
              <w:adjustRightInd w:val="0"/>
              <w:jc w:val="right"/>
              <w:rPr>
                <w:color w:val="000000"/>
              </w:rPr>
            </w:pPr>
            <w:r>
              <w:rPr>
                <w:rFonts w:ascii="Calibri" w:hAnsi="Calibri" w:cs="Calibri"/>
                <w:color w:val="000000"/>
              </w:rPr>
              <w:t>2026</w:t>
            </w:r>
          </w:p>
        </w:tc>
        <w:tc>
          <w:tcPr>
            <w:tcW w:w="1494" w:type="dxa"/>
            <w:vAlign w:val="bottom"/>
          </w:tcPr>
          <w:p w14:paraId="5014DFE0" w14:textId="18EBEBB2" w:rsidR="00C10DA7" w:rsidRDefault="00C10DA7" w:rsidP="00C10DA7">
            <w:pPr>
              <w:autoSpaceDE w:val="0"/>
              <w:autoSpaceDN w:val="0"/>
              <w:adjustRightInd w:val="0"/>
              <w:jc w:val="right"/>
              <w:rPr>
                <w:color w:val="000000"/>
              </w:rPr>
            </w:pPr>
            <w:r>
              <w:rPr>
                <w:rFonts w:ascii="Calibri" w:hAnsi="Calibri" w:cs="Calibri"/>
                <w:color w:val="000000"/>
              </w:rPr>
              <w:t>202.6</w:t>
            </w:r>
          </w:p>
        </w:tc>
        <w:tc>
          <w:tcPr>
            <w:tcW w:w="1494" w:type="dxa"/>
            <w:vAlign w:val="bottom"/>
          </w:tcPr>
          <w:p w14:paraId="4BDD72C9" w14:textId="64B949F8"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09895DC4" w14:textId="1C74DBF2"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38A5B56E" w14:textId="77777777" w:rsidTr="00A16F26">
        <w:trPr>
          <w:trHeight w:val="290"/>
        </w:trPr>
        <w:tc>
          <w:tcPr>
            <w:tcW w:w="1494" w:type="dxa"/>
            <w:vAlign w:val="bottom"/>
          </w:tcPr>
          <w:p w14:paraId="041F770C" w14:textId="5D4E99C6" w:rsidR="00C10DA7" w:rsidRDefault="00C10DA7" w:rsidP="00C10DA7">
            <w:pPr>
              <w:autoSpaceDE w:val="0"/>
              <w:autoSpaceDN w:val="0"/>
              <w:adjustRightInd w:val="0"/>
              <w:jc w:val="right"/>
              <w:rPr>
                <w:color w:val="000000"/>
              </w:rPr>
            </w:pPr>
            <w:r>
              <w:rPr>
                <w:rFonts w:ascii="Calibri" w:hAnsi="Calibri" w:cs="Calibri"/>
                <w:color w:val="000000"/>
              </w:rPr>
              <w:t>2027</w:t>
            </w:r>
          </w:p>
        </w:tc>
        <w:tc>
          <w:tcPr>
            <w:tcW w:w="1494" w:type="dxa"/>
            <w:vAlign w:val="bottom"/>
          </w:tcPr>
          <w:p w14:paraId="4626BC2F" w14:textId="4540500A" w:rsidR="00C10DA7" w:rsidRDefault="00C10DA7" w:rsidP="00C10DA7">
            <w:pPr>
              <w:autoSpaceDE w:val="0"/>
              <w:autoSpaceDN w:val="0"/>
              <w:adjustRightInd w:val="0"/>
              <w:jc w:val="right"/>
              <w:rPr>
                <w:color w:val="000000"/>
              </w:rPr>
            </w:pPr>
            <w:r>
              <w:rPr>
                <w:rFonts w:ascii="Calibri" w:hAnsi="Calibri" w:cs="Calibri"/>
                <w:color w:val="000000"/>
              </w:rPr>
              <w:t>206.0</w:t>
            </w:r>
          </w:p>
        </w:tc>
        <w:tc>
          <w:tcPr>
            <w:tcW w:w="1494" w:type="dxa"/>
            <w:vAlign w:val="bottom"/>
          </w:tcPr>
          <w:p w14:paraId="570E3316" w14:textId="1D983BEC"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56CAAEEE" w14:textId="24F2E49D"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4EF8FD5F" w14:textId="77777777" w:rsidTr="00A16F26">
        <w:trPr>
          <w:trHeight w:val="290"/>
        </w:trPr>
        <w:tc>
          <w:tcPr>
            <w:tcW w:w="1494" w:type="dxa"/>
            <w:vAlign w:val="bottom"/>
          </w:tcPr>
          <w:p w14:paraId="482E160D" w14:textId="5987EB3E" w:rsidR="00C10DA7" w:rsidRDefault="00C10DA7" w:rsidP="00C10DA7">
            <w:pPr>
              <w:autoSpaceDE w:val="0"/>
              <w:autoSpaceDN w:val="0"/>
              <w:adjustRightInd w:val="0"/>
              <w:jc w:val="right"/>
              <w:rPr>
                <w:color w:val="000000"/>
              </w:rPr>
            </w:pPr>
            <w:r>
              <w:rPr>
                <w:rFonts w:ascii="Calibri" w:hAnsi="Calibri" w:cs="Calibri"/>
                <w:color w:val="000000"/>
              </w:rPr>
              <w:t>2028</w:t>
            </w:r>
          </w:p>
        </w:tc>
        <w:tc>
          <w:tcPr>
            <w:tcW w:w="1494" w:type="dxa"/>
            <w:vAlign w:val="bottom"/>
          </w:tcPr>
          <w:p w14:paraId="2B10C970" w14:textId="43F55FFA" w:rsidR="00C10DA7" w:rsidRDefault="00C10DA7" w:rsidP="00C10DA7">
            <w:pPr>
              <w:autoSpaceDE w:val="0"/>
              <w:autoSpaceDN w:val="0"/>
              <w:adjustRightInd w:val="0"/>
              <w:jc w:val="right"/>
              <w:rPr>
                <w:color w:val="000000"/>
              </w:rPr>
            </w:pPr>
            <w:r>
              <w:rPr>
                <w:rFonts w:ascii="Calibri" w:hAnsi="Calibri" w:cs="Calibri"/>
                <w:color w:val="000000"/>
              </w:rPr>
              <w:t>209.5</w:t>
            </w:r>
          </w:p>
        </w:tc>
        <w:tc>
          <w:tcPr>
            <w:tcW w:w="1494" w:type="dxa"/>
            <w:vAlign w:val="bottom"/>
          </w:tcPr>
          <w:p w14:paraId="3E0CA9ED" w14:textId="59933AFE"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06DFB395" w14:textId="1C7DE72D"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1D223206" w14:textId="77777777" w:rsidTr="00A16F26">
        <w:trPr>
          <w:trHeight w:val="290"/>
        </w:trPr>
        <w:tc>
          <w:tcPr>
            <w:tcW w:w="1494" w:type="dxa"/>
            <w:vAlign w:val="bottom"/>
          </w:tcPr>
          <w:p w14:paraId="411CFFBA" w14:textId="3CC60049" w:rsidR="00C10DA7" w:rsidRDefault="00C10DA7" w:rsidP="00C10DA7">
            <w:pPr>
              <w:autoSpaceDE w:val="0"/>
              <w:autoSpaceDN w:val="0"/>
              <w:adjustRightInd w:val="0"/>
              <w:jc w:val="right"/>
              <w:rPr>
                <w:color w:val="000000"/>
              </w:rPr>
            </w:pPr>
            <w:r>
              <w:rPr>
                <w:rFonts w:ascii="Calibri" w:hAnsi="Calibri" w:cs="Calibri"/>
                <w:color w:val="000000"/>
              </w:rPr>
              <w:t>2029</w:t>
            </w:r>
          </w:p>
        </w:tc>
        <w:tc>
          <w:tcPr>
            <w:tcW w:w="1494" w:type="dxa"/>
            <w:vAlign w:val="bottom"/>
          </w:tcPr>
          <w:p w14:paraId="108B50B9" w14:textId="5C5CC0AA" w:rsidR="00C10DA7" w:rsidRDefault="00C10DA7" w:rsidP="00C10DA7">
            <w:pPr>
              <w:autoSpaceDE w:val="0"/>
              <w:autoSpaceDN w:val="0"/>
              <w:adjustRightInd w:val="0"/>
              <w:jc w:val="right"/>
              <w:rPr>
                <w:color w:val="000000"/>
              </w:rPr>
            </w:pPr>
            <w:r>
              <w:rPr>
                <w:rFonts w:ascii="Calibri" w:hAnsi="Calibri" w:cs="Calibri"/>
                <w:color w:val="000000"/>
              </w:rPr>
              <w:t>213.0</w:t>
            </w:r>
          </w:p>
        </w:tc>
        <w:tc>
          <w:tcPr>
            <w:tcW w:w="1494" w:type="dxa"/>
            <w:vAlign w:val="bottom"/>
          </w:tcPr>
          <w:p w14:paraId="4BA48DFE" w14:textId="69EB927F"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02E81960" w14:textId="3188CE66"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5F11A03F" w14:textId="77777777" w:rsidTr="00A16F26">
        <w:trPr>
          <w:trHeight w:val="290"/>
        </w:trPr>
        <w:tc>
          <w:tcPr>
            <w:tcW w:w="1494" w:type="dxa"/>
            <w:vAlign w:val="bottom"/>
          </w:tcPr>
          <w:p w14:paraId="43E5C1DC" w14:textId="212A7E04" w:rsidR="00C10DA7" w:rsidRDefault="00C10DA7" w:rsidP="00C10DA7">
            <w:pPr>
              <w:autoSpaceDE w:val="0"/>
              <w:autoSpaceDN w:val="0"/>
              <w:adjustRightInd w:val="0"/>
              <w:jc w:val="right"/>
              <w:rPr>
                <w:color w:val="000000"/>
              </w:rPr>
            </w:pPr>
            <w:r>
              <w:rPr>
                <w:rFonts w:ascii="Calibri" w:hAnsi="Calibri" w:cs="Calibri"/>
                <w:color w:val="000000"/>
              </w:rPr>
              <w:t>2030</w:t>
            </w:r>
          </w:p>
        </w:tc>
        <w:tc>
          <w:tcPr>
            <w:tcW w:w="1494" w:type="dxa"/>
            <w:vAlign w:val="bottom"/>
          </w:tcPr>
          <w:p w14:paraId="604AEFCF" w14:textId="36D805DE" w:rsidR="00C10DA7" w:rsidRDefault="00C10DA7" w:rsidP="00C10DA7">
            <w:pPr>
              <w:autoSpaceDE w:val="0"/>
              <w:autoSpaceDN w:val="0"/>
              <w:adjustRightInd w:val="0"/>
              <w:jc w:val="right"/>
              <w:rPr>
                <w:color w:val="000000"/>
              </w:rPr>
            </w:pPr>
            <w:r>
              <w:rPr>
                <w:rFonts w:ascii="Calibri" w:hAnsi="Calibri" w:cs="Calibri"/>
                <w:color w:val="000000"/>
              </w:rPr>
              <w:t>216.4</w:t>
            </w:r>
          </w:p>
        </w:tc>
        <w:tc>
          <w:tcPr>
            <w:tcW w:w="1494" w:type="dxa"/>
            <w:vAlign w:val="bottom"/>
          </w:tcPr>
          <w:p w14:paraId="35DEBEB4" w14:textId="19F79C34"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3D46C573" w14:textId="163CF721" w:rsidR="00C10DA7" w:rsidRDefault="00C10DA7" w:rsidP="00C10DA7">
            <w:pPr>
              <w:autoSpaceDE w:val="0"/>
              <w:autoSpaceDN w:val="0"/>
              <w:adjustRightInd w:val="0"/>
              <w:jc w:val="right"/>
              <w:rPr>
                <w:color w:val="000000"/>
              </w:rPr>
            </w:pPr>
            <w:r>
              <w:rPr>
                <w:rFonts w:ascii="Calibri" w:hAnsi="Calibri" w:cs="Calibri"/>
                <w:color w:val="000000"/>
              </w:rPr>
              <w:t xml:space="preserve">     13,279.43 </w:t>
            </w:r>
          </w:p>
        </w:tc>
      </w:tr>
      <w:tr w:rsidR="00C10DA7" w14:paraId="2A7F063B" w14:textId="77777777" w:rsidTr="00A16F26">
        <w:trPr>
          <w:trHeight w:val="290"/>
        </w:trPr>
        <w:tc>
          <w:tcPr>
            <w:tcW w:w="1494" w:type="dxa"/>
            <w:vAlign w:val="bottom"/>
          </w:tcPr>
          <w:p w14:paraId="423D7810" w14:textId="7C6CECA4" w:rsidR="00C10DA7" w:rsidRDefault="00C10DA7" w:rsidP="00C10DA7">
            <w:pPr>
              <w:autoSpaceDE w:val="0"/>
              <w:autoSpaceDN w:val="0"/>
              <w:adjustRightInd w:val="0"/>
              <w:jc w:val="right"/>
              <w:rPr>
                <w:color w:val="000000"/>
              </w:rPr>
            </w:pPr>
            <w:r>
              <w:rPr>
                <w:rFonts w:ascii="Calibri" w:hAnsi="Calibri" w:cs="Calibri"/>
                <w:color w:val="000000"/>
              </w:rPr>
              <w:t>2031</w:t>
            </w:r>
          </w:p>
        </w:tc>
        <w:tc>
          <w:tcPr>
            <w:tcW w:w="1494" w:type="dxa"/>
            <w:vAlign w:val="bottom"/>
          </w:tcPr>
          <w:p w14:paraId="4B33DC39" w14:textId="4F8C4EEB" w:rsidR="00C10DA7" w:rsidRDefault="00C10DA7" w:rsidP="00C10DA7">
            <w:pPr>
              <w:autoSpaceDE w:val="0"/>
              <w:autoSpaceDN w:val="0"/>
              <w:adjustRightInd w:val="0"/>
              <w:jc w:val="right"/>
              <w:rPr>
                <w:color w:val="000000"/>
              </w:rPr>
            </w:pPr>
            <w:r>
              <w:rPr>
                <w:rFonts w:ascii="Calibri" w:hAnsi="Calibri" w:cs="Calibri"/>
                <w:color w:val="000000"/>
              </w:rPr>
              <w:t>211.5</w:t>
            </w:r>
          </w:p>
        </w:tc>
        <w:tc>
          <w:tcPr>
            <w:tcW w:w="1494" w:type="dxa"/>
            <w:vAlign w:val="bottom"/>
          </w:tcPr>
          <w:p w14:paraId="1F944B74" w14:textId="5E8AA95A"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171F6554" w14:textId="35CF4289"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77CC0E1E" w14:textId="77777777" w:rsidTr="00A16F26">
        <w:trPr>
          <w:trHeight w:val="290"/>
        </w:trPr>
        <w:tc>
          <w:tcPr>
            <w:tcW w:w="1494" w:type="dxa"/>
            <w:vAlign w:val="bottom"/>
          </w:tcPr>
          <w:p w14:paraId="661EE08B" w14:textId="484677AB" w:rsidR="00C10DA7" w:rsidRDefault="00C10DA7" w:rsidP="00C10DA7">
            <w:pPr>
              <w:autoSpaceDE w:val="0"/>
              <w:autoSpaceDN w:val="0"/>
              <w:adjustRightInd w:val="0"/>
              <w:jc w:val="right"/>
              <w:rPr>
                <w:color w:val="000000"/>
              </w:rPr>
            </w:pPr>
            <w:r>
              <w:rPr>
                <w:rFonts w:ascii="Calibri" w:hAnsi="Calibri" w:cs="Calibri"/>
                <w:color w:val="000000"/>
              </w:rPr>
              <w:t>2032</w:t>
            </w:r>
          </w:p>
        </w:tc>
        <w:tc>
          <w:tcPr>
            <w:tcW w:w="1494" w:type="dxa"/>
            <w:vAlign w:val="bottom"/>
          </w:tcPr>
          <w:p w14:paraId="49992FE7" w14:textId="0EF772FA" w:rsidR="00C10DA7" w:rsidRDefault="00C10DA7" w:rsidP="00C10DA7">
            <w:pPr>
              <w:autoSpaceDE w:val="0"/>
              <w:autoSpaceDN w:val="0"/>
              <w:adjustRightInd w:val="0"/>
              <w:jc w:val="right"/>
              <w:rPr>
                <w:color w:val="000000"/>
              </w:rPr>
            </w:pPr>
            <w:r>
              <w:rPr>
                <w:rFonts w:ascii="Calibri" w:hAnsi="Calibri" w:cs="Calibri"/>
                <w:color w:val="000000"/>
              </w:rPr>
              <w:t>214.9</w:t>
            </w:r>
          </w:p>
        </w:tc>
        <w:tc>
          <w:tcPr>
            <w:tcW w:w="1494" w:type="dxa"/>
            <w:vAlign w:val="bottom"/>
          </w:tcPr>
          <w:p w14:paraId="14CF90FB" w14:textId="6CE5EEEF"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79F99B69" w14:textId="6110A181"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6729CE23" w14:textId="77777777" w:rsidTr="00A16F26">
        <w:trPr>
          <w:trHeight w:val="290"/>
        </w:trPr>
        <w:tc>
          <w:tcPr>
            <w:tcW w:w="1494" w:type="dxa"/>
            <w:vAlign w:val="bottom"/>
          </w:tcPr>
          <w:p w14:paraId="6A468237" w14:textId="5F7ACCDF" w:rsidR="00C10DA7" w:rsidRDefault="00C10DA7" w:rsidP="00C10DA7">
            <w:pPr>
              <w:autoSpaceDE w:val="0"/>
              <w:autoSpaceDN w:val="0"/>
              <w:adjustRightInd w:val="0"/>
              <w:jc w:val="right"/>
              <w:rPr>
                <w:color w:val="000000"/>
              </w:rPr>
            </w:pPr>
            <w:r>
              <w:rPr>
                <w:rFonts w:ascii="Calibri" w:hAnsi="Calibri" w:cs="Calibri"/>
                <w:color w:val="000000"/>
              </w:rPr>
              <w:t>2033</w:t>
            </w:r>
          </w:p>
        </w:tc>
        <w:tc>
          <w:tcPr>
            <w:tcW w:w="1494" w:type="dxa"/>
            <w:vAlign w:val="bottom"/>
          </w:tcPr>
          <w:p w14:paraId="2DFE78C9" w14:textId="0A929162" w:rsidR="00C10DA7" w:rsidRDefault="00C10DA7" w:rsidP="00C10DA7">
            <w:pPr>
              <w:autoSpaceDE w:val="0"/>
              <w:autoSpaceDN w:val="0"/>
              <w:adjustRightInd w:val="0"/>
              <w:jc w:val="right"/>
              <w:rPr>
                <w:color w:val="000000"/>
              </w:rPr>
            </w:pPr>
            <w:r>
              <w:rPr>
                <w:rFonts w:ascii="Calibri" w:hAnsi="Calibri" w:cs="Calibri"/>
                <w:color w:val="000000"/>
              </w:rPr>
              <w:t>218.2</w:t>
            </w:r>
          </w:p>
        </w:tc>
        <w:tc>
          <w:tcPr>
            <w:tcW w:w="1494" w:type="dxa"/>
            <w:vAlign w:val="bottom"/>
          </w:tcPr>
          <w:p w14:paraId="166C73B7" w14:textId="388A61C5"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599FEBE6" w14:textId="65E8CBBE"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4CBA305D" w14:textId="77777777" w:rsidTr="00A16F26">
        <w:trPr>
          <w:trHeight w:val="290"/>
        </w:trPr>
        <w:tc>
          <w:tcPr>
            <w:tcW w:w="1494" w:type="dxa"/>
            <w:vAlign w:val="bottom"/>
          </w:tcPr>
          <w:p w14:paraId="49D61105" w14:textId="23D4854E" w:rsidR="00C10DA7" w:rsidRDefault="00C10DA7" w:rsidP="00C10DA7">
            <w:pPr>
              <w:autoSpaceDE w:val="0"/>
              <w:autoSpaceDN w:val="0"/>
              <w:adjustRightInd w:val="0"/>
              <w:jc w:val="right"/>
              <w:rPr>
                <w:color w:val="000000"/>
              </w:rPr>
            </w:pPr>
            <w:r>
              <w:rPr>
                <w:rFonts w:ascii="Calibri" w:hAnsi="Calibri" w:cs="Calibri"/>
                <w:color w:val="000000"/>
              </w:rPr>
              <w:t>2034</w:t>
            </w:r>
          </w:p>
        </w:tc>
        <w:tc>
          <w:tcPr>
            <w:tcW w:w="1494" w:type="dxa"/>
            <w:vAlign w:val="bottom"/>
          </w:tcPr>
          <w:p w14:paraId="3457D3C5" w14:textId="3170ACDC" w:rsidR="00C10DA7" w:rsidRDefault="00C10DA7" w:rsidP="00C10DA7">
            <w:pPr>
              <w:autoSpaceDE w:val="0"/>
              <w:autoSpaceDN w:val="0"/>
              <w:adjustRightInd w:val="0"/>
              <w:jc w:val="right"/>
              <w:rPr>
                <w:color w:val="000000"/>
              </w:rPr>
            </w:pPr>
            <w:r>
              <w:rPr>
                <w:rFonts w:ascii="Calibri" w:hAnsi="Calibri" w:cs="Calibri"/>
                <w:color w:val="000000"/>
              </w:rPr>
              <w:t>221.6</w:t>
            </w:r>
          </w:p>
        </w:tc>
        <w:tc>
          <w:tcPr>
            <w:tcW w:w="1494" w:type="dxa"/>
            <w:vAlign w:val="bottom"/>
          </w:tcPr>
          <w:p w14:paraId="2863F613" w14:textId="197683FA"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1DE3F1A6" w14:textId="0A1F2CE7"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78C58AB3" w14:textId="77777777" w:rsidTr="00A16F26">
        <w:trPr>
          <w:trHeight w:val="290"/>
        </w:trPr>
        <w:tc>
          <w:tcPr>
            <w:tcW w:w="1494" w:type="dxa"/>
            <w:vAlign w:val="bottom"/>
          </w:tcPr>
          <w:p w14:paraId="1DDE4F6E" w14:textId="42E38764" w:rsidR="00C10DA7" w:rsidRDefault="00C10DA7" w:rsidP="00C10DA7">
            <w:pPr>
              <w:autoSpaceDE w:val="0"/>
              <w:autoSpaceDN w:val="0"/>
              <w:adjustRightInd w:val="0"/>
              <w:jc w:val="right"/>
              <w:rPr>
                <w:color w:val="000000"/>
              </w:rPr>
            </w:pPr>
            <w:r>
              <w:rPr>
                <w:rFonts w:ascii="Calibri" w:hAnsi="Calibri" w:cs="Calibri"/>
                <w:color w:val="000000"/>
              </w:rPr>
              <w:t>2035</w:t>
            </w:r>
          </w:p>
        </w:tc>
        <w:tc>
          <w:tcPr>
            <w:tcW w:w="1494" w:type="dxa"/>
            <w:vAlign w:val="bottom"/>
          </w:tcPr>
          <w:p w14:paraId="7499FB29" w14:textId="28097584" w:rsidR="00C10DA7" w:rsidRDefault="00C10DA7" w:rsidP="00C10DA7">
            <w:pPr>
              <w:autoSpaceDE w:val="0"/>
              <w:autoSpaceDN w:val="0"/>
              <w:adjustRightInd w:val="0"/>
              <w:jc w:val="right"/>
              <w:rPr>
                <w:color w:val="000000"/>
              </w:rPr>
            </w:pPr>
            <w:r>
              <w:rPr>
                <w:rFonts w:ascii="Calibri" w:hAnsi="Calibri" w:cs="Calibri"/>
                <w:color w:val="000000"/>
              </w:rPr>
              <w:t>225.0</w:t>
            </w:r>
          </w:p>
        </w:tc>
        <w:tc>
          <w:tcPr>
            <w:tcW w:w="1494" w:type="dxa"/>
            <w:vAlign w:val="bottom"/>
          </w:tcPr>
          <w:p w14:paraId="524549AE" w14:textId="01DC6CE4"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472886BB" w14:textId="34D77FE9" w:rsidR="00C10DA7" w:rsidRDefault="00C10DA7" w:rsidP="00C10DA7">
            <w:pPr>
              <w:autoSpaceDE w:val="0"/>
              <w:autoSpaceDN w:val="0"/>
              <w:adjustRightInd w:val="0"/>
              <w:jc w:val="right"/>
              <w:rPr>
                <w:color w:val="000000"/>
              </w:rPr>
            </w:pPr>
            <w:r>
              <w:rPr>
                <w:rFonts w:ascii="Calibri" w:hAnsi="Calibri" w:cs="Calibri"/>
                <w:color w:val="000000"/>
              </w:rPr>
              <w:t xml:space="preserve">     14,519.98 </w:t>
            </w:r>
          </w:p>
        </w:tc>
      </w:tr>
      <w:tr w:rsidR="00C10DA7" w14:paraId="4DDD3659" w14:textId="77777777" w:rsidTr="00A16F26">
        <w:trPr>
          <w:trHeight w:val="290"/>
        </w:trPr>
        <w:tc>
          <w:tcPr>
            <w:tcW w:w="1494" w:type="dxa"/>
            <w:vAlign w:val="bottom"/>
          </w:tcPr>
          <w:p w14:paraId="4D66DBE7" w14:textId="78F36EDB" w:rsidR="00C10DA7" w:rsidRDefault="00C10DA7" w:rsidP="00C10DA7">
            <w:pPr>
              <w:autoSpaceDE w:val="0"/>
              <w:autoSpaceDN w:val="0"/>
              <w:adjustRightInd w:val="0"/>
              <w:jc w:val="right"/>
              <w:rPr>
                <w:color w:val="000000"/>
              </w:rPr>
            </w:pPr>
            <w:r>
              <w:rPr>
                <w:rFonts w:ascii="Calibri" w:hAnsi="Calibri" w:cs="Calibri"/>
                <w:color w:val="000000"/>
              </w:rPr>
              <w:t>2036</w:t>
            </w:r>
          </w:p>
        </w:tc>
        <w:tc>
          <w:tcPr>
            <w:tcW w:w="1494" w:type="dxa"/>
            <w:vAlign w:val="bottom"/>
          </w:tcPr>
          <w:p w14:paraId="7E0F15E4" w14:textId="667C1E24" w:rsidR="00C10DA7" w:rsidRDefault="00C10DA7" w:rsidP="00C10DA7">
            <w:pPr>
              <w:autoSpaceDE w:val="0"/>
              <w:autoSpaceDN w:val="0"/>
              <w:adjustRightInd w:val="0"/>
              <w:jc w:val="right"/>
              <w:rPr>
                <w:color w:val="000000"/>
              </w:rPr>
            </w:pPr>
            <w:r>
              <w:rPr>
                <w:rFonts w:ascii="Calibri" w:hAnsi="Calibri" w:cs="Calibri"/>
                <w:color w:val="000000"/>
              </w:rPr>
              <w:t>219.3</w:t>
            </w:r>
          </w:p>
        </w:tc>
        <w:tc>
          <w:tcPr>
            <w:tcW w:w="1494" w:type="dxa"/>
            <w:vAlign w:val="bottom"/>
          </w:tcPr>
          <w:p w14:paraId="23C7B807" w14:textId="258C2FC8"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3FEBA31C" w14:textId="43F03E70"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73F10797" w14:textId="77777777" w:rsidTr="00A16F26">
        <w:trPr>
          <w:trHeight w:val="290"/>
        </w:trPr>
        <w:tc>
          <w:tcPr>
            <w:tcW w:w="1494" w:type="dxa"/>
            <w:vAlign w:val="bottom"/>
          </w:tcPr>
          <w:p w14:paraId="3A7AD19E" w14:textId="343534E1" w:rsidR="00C10DA7" w:rsidRDefault="00C10DA7" w:rsidP="00C10DA7">
            <w:pPr>
              <w:autoSpaceDE w:val="0"/>
              <w:autoSpaceDN w:val="0"/>
              <w:adjustRightInd w:val="0"/>
              <w:jc w:val="right"/>
              <w:rPr>
                <w:color w:val="000000"/>
              </w:rPr>
            </w:pPr>
            <w:r>
              <w:rPr>
                <w:rFonts w:ascii="Calibri" w:hAnsi="Calibri" w:cs="Calibri"/>
                <w:color w:val="000000"/>
              </w:rPr>
              <w:t>2037</w:t>
            </w:r>
          </w:p>
        </w:tc>
        <w:tc>
          <w:tcPr>
            <w:tcW w:w="1494" w:type="dxa"/>
            <w:vAlign w:val="bottom"/>
          </w:tcPr>
          <w:p w14:paraId="14C879B6" w14:textId="5C1D3328" w:rsidR="00C10DA7" w:rsidRDefault="00C10DA7" w:rsidP="00C10DA7">
            <w:pPr>
              <w:autoSpaceDE w:val="0"/>
              <w:autoSpaceDN w:val="0"/>
              <w:adjustRightInd w:val="0"/>
              <w:jc w:val="right"/>
              <w:rPr>
                <w:color w:val="000000"/>
              </w:rPr>
            </w:pPr>
            <w:r>
              <w:rPr>
                <w:rFonts w:ascii="Calibri" w:hAnsi="Calibri" w:cs="Calibri"/>
                <w:color w:val="000000"/>
              </w:rPr>
              <w:t>222.6</w:t>
            </w:r>
          </w:p>
        </w:tc>
        <w:tc>
          <w:tcPr>
            <w:tcW w:w="1494" w:type="dxa"/>
            <w:vAlign w:val="bottom"/>
          </w:tcPr>
          <w:p w14:paraId="69F1F064" w14:textId="2E7D2FD2"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01A00BCA" w14:textId="174C3937"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5E84C956" w14:textId="77777777" w:rsidTr="00A16F26">
        <w:trPr>
          <w:trHeight w:val="290"/>
        </w:trPr>
        <w:tc>
          <w:tcPr>
            <w:tcW w:w="1494" w:type="dxa"/>
            <w:vAlign w:val="bottom"/>
          </w:tcPr>
          <w:p w14:paraId="00BD2971" w14:textId="05C2EA5C" w:rsidR="00C10DA7" w:rsidRDefault="00C10DA7" w:rsidP="00C10DA7">
            <w:pPr>
              <w:autoSpaceDE w:val="0"/>
              <w:autoSpaceDN w:val="0"/>
              <w:adjustRightInd w:val="0"/>
              <w:jc w:val="right"/>
              <w:rPr>
                <w:color w:val="000000"/>
              </w:rPr>
            </w:pPr>
            <w:r>
              <w:rPr>
                <w:rFonts w:ascii="Calibri" w:hAnsi="Calibri" w:cs="Calibri"/>
                <w:color w:val="000000"/>
              </w:rPr>
              <w:t>2038</w:t>
            </w:r>
          </w:p>
        </w:tc>
        <w:tc>
          <w:tcPr>
            <w:tcW w:w="1494" w:type="dxa"/>
            <w:vAlign w:val="bottom"/>
          </w:tcPr>
          <w:p w14:paraId="73EB7D2F" w14:textId="072724C6" w:rsidR="00C10DA7" w:rsidRDefault="00C10DA7" w:rsidP="00C10DA7">
            <w:pPr>
              <w:autoSpaceDE w:val="0"/>
              <w:autoSpaceDN w:val="0"/>
              <w:adjustRightInd w:val="0"/>
              <w:jc w:val="right"/>
              <w:rPr>
                <w:color w:val="000000"/>
              </w:rPr>
            </w:pPr>
            <w:r>
              <w:rPr>
                <w:rFonts w:ascii="Calibri" w:hAnsi="Calibri" w:cs="Calibri"/>
                <w:color w:val="000000"/>
              </w:rPr>
              <w:t>225.9</w:t>
            </w:r>
          </w:p>
        </w:tc>
        <w:tc>
          <w:tcPr>
            <w:tcW w:w="1494" w:type="dxa"/>
            <w:vAlign w:val="bottom"/>
          </w:tcPr>
          <w:p w14:paraId="2C2E6991" w14:textId="229F71D1"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0B949780" w14:textId="04031E98"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6EDE7FF5" w14:textId="77777777" w:rsidTr="00A16F26">
        <w:trPr>
          <w:trHeight w:val="290"/>
        </w:trPr>
        <w:tc>
          <w:tcPr>
            <w:tcW w:w="1494" w:type="dxa"/>
            <w:vAlign w:val="bottom"/>
          </w:tcPr>
          <w:p w14:paraId="272CDF28" w14:textId="6A0D5A94" w:rsidR="00C10DA7" w:rsidRDefault="00C10DA7" w:rsidP="00C10DA7">
            <w:pPr>
              <w:autoSpaceDE w:val="0"/>
              <w:autoSpaceDN w:val="0"/>
              <w:adjustRightInd w:val="0"/>
              <w:jc w:val="right"/>
              <w:rPr>
                <w:color w:val="000000"/>
              </w:rPr>
            </w:pPr>
            <w:r>
              <w:rPr>
                <w:rFonts w:ascii="Calibri" w:hAnsi="Calibri" w:cs="Calibri"/>
                <w:color w:val="000000"/>
              </w:rPr>
              <w:t>2039</w:t>
            </w:r>
          </w:p>
        </w:tc>
        <w:tc>
          <w:tcPr>
            <w:tcW w:w="1494" w:type="dxa"/>
            <w:vAlign w:val="bottom"/>
          </w:tcPr>
          <w:p w14:paraId="7F79BF1E" w14:textId="3BF2975C" w:rsidR="00C10DA7" w:rsidRDefault="00C10DA7" w:rsidP="00C10DA7">
            <w:pPr>
              <w:autoSpaceDE w:val="0"/>
              <w:autoSpaceDN w:val="0"/>
              <w:adjustRightInd w:val="0"/>
              <w:jc w:val="right"/>
              <w:rPr>
                <w:color w:val="000000"/>
              </w:rPr>
            </w:pPr>
            <w:r>
              <w:rPr>
                <w:rFonts w:ascii="Calibri" w:hAnsi="Calibri" w:cs="Calibri"/>
                <w:color w:val="000000"/>
              </w:rPr>
              <w:t>229.2</w:t>
            </w:r>
          </w:p>
        </w:tc>
        <w:tc>
          <w:tcPr>
            <w:tcW w:w="1494" w:type="dxa"/>
            <w:vAlign w:val="bottom"/>
          </w:tcPr>
          <w:p w14:paraId="7CA5EDF0" w14:textId="3C0660B8"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04A5FCC3" w14:textId="4BD59777" w:rsidR="00C10DA7" w:rsidRDefault="00C10DA7" w:rsidP="00C10DA7">
            <w:pPr>
              <w:autoSpaceDE w:val="0"/>
              <w:autoSpaceDN w:val="0"/>
              <w:adjustRightInd w:val="0"/>
              <w:jc w:val="right"/>
              <w:rPr>
                <w:color w:val="000000"/>
              </w:rPr>
            </w:pPr>
            <w:r>
              <w:rPr>
                <w:rFonts w:ascii="Calibri" w:hAnsi="Calibri" w:cs="Calibri"/>
                <w:color w:val="000000"/>
              </w:rPr>
              <w:t> </w:t>
            </w:r>
          </w:p>
        </w:tc>
      </w:tr>
      <w:tr w:rsidR="00C10DA7" w14:paraId="127F3C32" w14:textId="77777777" w:rsidTr="00A16F26">
        <w:trPr>
          <w:trHeight w:val="290"/>
        </w:trPr>
        <w:tc>
          <w:tcPr>
            <w:tcW w:w="1494" w:type="dxa"/>
            <w:vAlign w:val="bottom"/>
          </w:tcPr>
          <w:p w14:paraId="68DFBFE7" w14:textId="1C2BA684" w:rsidR="00C10DA7" w:rsidRDefault="00C10DA7" w:rsidP="00C10DA7">
            <w:pPr>
              <w:autoSpaceDE w:val="0"/>
              <w:autoSpaceDN w:val="0"/>
              <w:adjustRightInd w:val="0"/>
              <w:jc w:val="right"/>
              <w:rPr>
                <w:color w:val="000000"/>
              </w:rPr>
            </w:pPr>
            <w:r>
              <w:rPr>
                <w:rFonts w:ascii="Calibri" w:hAnsi="Calibri" w:cs="Calibri"/>
                <w:color w:val="000000"/>
              </w:rPr>
              <w:t>2040</w:t>
            </w:r>
          </w:p>
        </w:tc>
        <w:tc>
          <w:tcPr>
            <w:tcW w:w="1494" w:type="dxa"/>
            <w:vAlign w:val="bottom"/>
          </w:tcPr>
          <w:p w14:paraId="6AD20251" w14:textId="6E412CEF" w:rsidR="00C10DA7" w:rsidRDefault="00C10DA7" w:rsidP="00C10DA7">
            <w:pPr>
              <w:autoSpaceDE w:val="0"/>
              <w:autoSpaceDN w:val="0"/>
              <w:adjustRightInd w:val="0"/>
              <w:jc w:val="right"/>
              <w:rPr>
                <w:color w:val="000000"/>
              </w:rPr>
            </w:pPr>
            <w:r>
              <w:rPr>
                <w:rFonts w:ascii="Calibri" w:hAnsi="Calibri" w:cs="Calibri"/>
                <w:color w:val="000000"/>
              </w:rPr>
              <w:t>232.5</w:t>
            </w:r>
          </w:p>
        </w:tc>
        <w:tc>
          <w:tcPr>
            <w:tcW w:w="1494" w:type="dxa"/>
            <w:vAlign w:val="bottom"/>
          </w:tcPr>
          <w:p w14:paraId="15AFD1DE" w14:textId="3BD3AA2C" w:rsidR="00C10DA7" w:rsidRDefault="00C10DA7" w:rsidP="00C10DA7">
            <w:pPr>
              <w:autoSpaceDE w:val="0"/>
              <w:autoSpaceDN w:val="0"/>
              <w:adjustRightInd w:val="0"/>
              <w:jc w:val="right"/>
              <w:rPr>
                <w:color w:val="000000"/>
              </w:rPr>
            </w:pPr>
            <w:r>
              <w:rPr>
                <w:rFonts w:ascii="Calibri" w:hAnsi="Calibri" w:cs="Calibri"/>
                <w:color w:val="000000"/>
              </w:rPr>
              <w:t>3.9</w:t>
            </w:r>
          </w:p>
        </w:tc>
        <w:tc>
          <w:tcPr>
            <w:tcW w:w="1494" w:type="dxa"/>
            <w:vAlign w:val="bottom"/>
          </w:tcPr>
          <w:p w14:paraId="1512EF9E" w14:textId="5B737AB5" w:rsidR="00C10DA7" w:rsidRDefault="00C10DA7" w:rsidP="00C10DA7">
            <w:pPr>
              <w:autoSpaceDE w:val="0"/>
              <w:autoSpaceDN w:val="0"/>
              <w:adjustRightInd w:val="0"/>
              <w:jc w:val="right"/>
              <w:rPr>
                <w:color w:val="000000"/>
              </w:rPr>
            </w:pPr>
            <w:r>
              <w:rPr>
                <w:rFonts w:ascii="Calibri" w:hAnsi="Calibri" w:cs="Calibri"/>
                <w:color w:val="000000"/>
              </w:rPr>
              <w:t> </w:t>
            </w:r>
          </w:p>
        </w:tc>
      </w:tr>
    </w:tbl>
    <w:p w14:paraId="210A5482" w14:textId="77777777" w:rsidR="00F7572B" w:rsidRDefault="00F7572B" w:rsidP="007344DF"/>
    <w:p w14:paraId="42E7057B" w14:textId="1B76C3D5" w:rsidR="007344DF" w:rsidRPr="00185425" w:rsidRDefault="007344DF" w:rsidP="007344DF">
      <w:r w:rsidRPr="00185425">
        <w:t xml:space="preserve">No </w:t>
      </w:r>
      <w:r w:rsidR="00BE6016">
        <w:t xml:space="preserve">significant </w:t>
      </w:r>
      <w:r w:rsidRPr="00185425">
        <w:t xml:space="preserve">burning is expected to </w:t>
      </w:r>
      <w:r>
        <w:t xml:space="preserve">take place </w:t>
      </w:r>
      <w:r w:rsidRPr="00185425">
        <w:t xml:space="preserve">in the project area. Thus, parameter </w:t>
      </w:r>
      <w:r w:rsidRPr="00185425">
        <w:rPr>
          <w:i/>
        </w:rPr>
        <w:t>BS</w:t>
      </w:r>
      <w:r w:rsidRPr="00185425">
        <w:rPr>
          <w:i/>
          <w:vertAlign w:val="subscript"/>
        </w:rPr>
        <w:t>P</w:t>
      </w:r>
      <w:r w:rsidRPr="00185425">
        <w:t xml:space="preserve"> equals zero and the outcome of equation 13 of the methodology, parameter </w:t>
      </w:r>
      <w:r w:rsidRPr="00185425">
        <w:rPr>
          <w:i/>
        </w:rPr>
        <w:t>GHG</w:t>
      </w:r>
      <w:r w:rsidRPr="00185425">
        <w:rPr>
          <w:i/>
          <w:vertAlign w:val="subscript"/>
        </w:rPr>
        <w:t>P</w:t>
      </w:r>
      <w:r w:rsidRPr="00185425">
        <w:t xml:space="preserve">, equals zero. </w:t>
      </w:r>
    </w:p>
    <w:p w14:paraId="6DCE7DFE" w14:textId="77777777" w:rsidR="007344DF" w:rsidRDefault="007344DF" w:rsidP="007344DF">
      <w:pPr>
        <w:rPr>
          <w:vertAlign w:val="subscript"/>
        </w:rPr>
      </w:pPr>
      <w:r w:rsidRPr="00185425">
        <w:t>In ex ante calculations of net emission reductions, it is assumed that future inventor</w:t>
      </w:r>
      <w:r>
        <w:t>ies achieve overall precision less than</w:t>
      </w:r>
      <w:r w:rsidRPr="00185425">
        <w:t xml:space="preserve"> +/-10% of the mean with 90% confidence, thus </w:t>
      </w:r>
      <w:r w:rsidRPr="00185425">
        <w:rPr>
          <w:i/>
        </w:rPr>
        <w:t>UNC</w:t>
      </w:r>
      <w:r w:rsidRPr="00185425">
        <w:rPr>
          <w:i/>
          <w:vertAlign w:val="subscript"/>
        </w:rPr>
        <w:t>P</w:t>
      </w:r>
      <w:r w:rsidRPr="00185425">
        <w:t xml:space="preserve"> is assumed to be equal to </w:t>
      </w:r>
      <w:r w:rsidRPr="00185425">
        <w:rPr>
          <w:i/>
        </w:rPr>
        <w:t>UNC</w:t>
      </w:r>
      <w:r w:rsidRPr="00185425">
        <w:rPr>
          <w:i/>
          <w:vertAlign w:val="subscript"/>
        </w:rPr>
        <w:t>BSL</w:t>
      </w:r>
      <w:r>
        <w:rPr>
          <w:i/>
          <w:vertAlign w:val="subscript"/>
        </w:rPr>
        <w:t>.</w:t>
      </w:r>
    </w:p>
    <w:p w14:paraId="25C46A44" w14:textId="77777777" w:rsidR="007344DF" w:rsidRPr="00E2069D" w:rsidRDefault="007344DF" w:rsidP="007344DF"/>
    <w:p w14:paraId="2226107D" w14:textId="74D13B99" w:rsidR="00773A6E" w:rsidRPr="007344DF" w:rsidRDefault="00773A6E" w:rsidP="00580B7D"/>
    <w:p w14:paraId="2953566A" w14:textId="77777777" w:rsidR="00A032A8" w:rsidRDefault="00580B7D" w:rsidP="00A032A8">
      <w:pPr>
        <w:sectPr w:rsidR="00A032A8" w:rsidSect="00A032A8">
          <w:type w:val="oddPage"/>
          <w:pgSz w:w="12240" w:h="15840"/>
          <w:pgMar w:top="1440" w:right="1440" w:bottom="1440" w:left="1440" w:header="720" w:footer="144" w:gutter="0"/>
          <w:cols w:space="720"/>
          <w:docGrid w:linePitch="360"/>
        </w:sectPr>
      </w:pPr>
      <w:r>
        <w:br w:type="page"/>
      </w:r>
    </w:p>
    <w:p w14:paraId="7D26F386" w14:textId="77777777" w:rsidR="00580B7D" w:rsidRPr="00A032A8" w:rsidRDefault="00580B7D" w:rsidP="00A032A8">
      <w:pPr>
        <w:rPr>
          <w:rFonts w:eastAsiaTheme="majorEastAsia" w:cstheme="majorBidi"/>
          <w:b/>
          <w:bCs/>
          <w:sz w:val="52"/>
          <w:szCs w:val="52"/>
        </w:rPr>
      </w:pPr>
    </w:p>
    <w:p w14:paraId="5A5965C5" w14:textId="77777777" w:rsidR="00580B7D" w:rsidRDefault="00580B7D" w:rsidP="006F54FC">
      <w:pPr>
        <w:pStyle w:val="Heading1"/>
      </w:pPr>
    </w:p>
    <w:p w14:paraId="32A22DC7" w14:textId="77777777" w:rsidR="00580B7D" w:rsidRDefault="00580B7D" w:rsidP="006F54FC">
      <w:pPr>
        <w:pStyle w:val="Heading1"/>
      </w:pPr>
    </w:p>
    <w:p w14:paraId="12C304C3" w14:textId="77777777" w:rsidR="00580B7D" w:rsidRDefault="00580B7D" w:rsidP="006F54FC">
      <w:pPr>
        <w:pStyle w:val="Heading1"/>
      </w:pPr>
    </w:p>
    <w:p w14:paraId="5E9A5BAB" w14:textId="77777777" w:rsidR="00546796" w:rsidRDefault="000F6CBD" w:rsidP="006F54FC">
      <w:pPr>
        <w:pStyle w:val="Heading1"/>
      </w:pPr>
      <w:bookmarkStart w:id="41" w:name="_Toc2243512"/>
      <w:r>
        <w:t>F</w:t>
      </w:r>
      <w:r w:rsidR="00546796">
        <w:t>.</w:t>
      </w:r>
      <w:r w:rsidR="003B7D55">
        <w:br/>
      </w:r>
      <w:r w:rsidR="006424C5">
        <w:t>COMMUNITY &amp; ENVIRONMENTAL IMPACTS</w:t>
      </w:r>
      <w:bookmarkEnd w:id="41"/>
    </w:p>
    <w:p w14:paraId="62BB9D1D" w14:textId="77777777" w:rsidR="00DB7BAC" w:rsidRDefault="00DB7BAC">
      <w:r>
        <w:br w:type="page"/>
      </w:r>
    </w:p>
    <w:p w14:paraId="52875440" w14:textId="77777777" w:rsidR="00546796" w:rsidRDefault="000F6CBD" w:rsidP="00986DF0">
      <w:pPr>
        <w:pStyle w:val="Heading2"/>
      </w:pPr>
      <w:bookmarkStart w:id="42" w:name="_Toc2243513"/>
      <w:r>
        <w:t>F</w:t>
      </w:r>
      <w:r w:rsidR="00546796">
        <w:t xml:space="preserve">1. </w:t>
      </w:r>
      <w:r w:rsidR="00986DF0">
        <w:t>NET POSITIVE IMPACTS</w:t>
      </w:r>
      <w:bookmarkEnd w:id="42"/>
    </w:p>
    <w:p w14:paraId="2CB7F89D" w14:textId="291C48A1" w:rsidR="00986DF0" w:rsidRDefault="00986DF0" w:rsidP="00986DF0"/>
    <w:p w14:paraId="2270EBBE" w14:textId="77777777" w:rsidR="00592EEC" w:rsidRPr="00125497" w:rsidRDefault="00592EEC" w:rsidP="00181BB2">
      <w:pPr>
        <w:rPr>
          <w:rFonts w:cstheme="minorHAnsi"/>
        </w:rPr>
      </w:pPr>
    </w:p>
    <w:p w14:paraId="10CBE73E" w14:textId="2923CFBF" w:rsidR="00687035" w:rsidRPr="00384F14" w:rsidRDefault="00EF315B" w:rsidP="00687035">
      <w:r>
        <w:rPr>
          <w:rFonts w:cstheme="minorHAnsi"/>
        </w:rPr>
        <w:t>Net positive impacts of the project are demonstrated referencing t</w:t>
      </w:r>
      <w:r w:rsidR="00002ED5">
        <w:rPr>
          <w:rFonts w:cstheme="minorHAnsi"/>
        </w:rPr>
        <w:t>he 5 ACR</w:t>
      </w:r>
      <w:r w:rsidR="00181BB2" w:rsidRPr="00125497">
        <w:rPr>
          <w:rFonts w:cstheme="minorHAnsi"/>
        </w:rPr>
        <w:t xml:space="preserve"> Environmental and Community Impact Assessment Requirements addressed below. Each </w:t>
      </w:r>
      <w:r w:rsidR="00002ED5">
        <w:rPr>
          <w:rFonts w:cstheme="minorHAnsi"/>
        </w:rPr>
        <w:t xml:space="preserve">ACR </w:t>
      </w:r>
      <w:r w:rsidR="00181BB2" w:rsidRPr="00125497">
        <w:rPr>
          <w:rFonts w:cstheme="minorHAnsi"/>
        </w:rPr>
        <w:t xml:space="preserve">requirement is listed in italics. </w:t>
      </w:r>
      <w:r w:rsidR="00687035">
        <w:rPr>
          <w:rFonts w:cstheme="minorHAnsi"/>
        </w:rPr>
        <w:t xml:space="preserve">The project will further address these requirements </w:t>
      </w:r>
      <w:r w:rsidR="00687035">
        <w:t xml:space="preserve">through maintenance of </w:t>
      </w:r>
      <w:r w:rsidR="00687035" w:rsidRPr="00384F14">
        <w:t>FSC Certification.</w:t>
      </w:r>
      <w:r w:rsidR="00D51F54">
        <w:t xml:space="preserve"> In Addition, </w:t>
      </w:r>
      <w:r w:rsidR="00D51F54" w:rsidRPr="00D51F54">
        <w:t xml:space="preserve">the </w:t>
      </w:r>
      <w:r w:rsidR="00D51F54">
        <w:t xml:space="preserve">United Nations </w:t>
      </w:r>
      <w:r w:rsidR="00D51F54" w:rsidRPr="00D51F54">
        <w:t>Sustainable Development Goals are identified and described to which the project impacts are aligned and positively contribute.</w:t>
      </w:r>
    </w:p>
    <w:p w14:paraId="2D2ABD86" w14:textId="370EF2FD" w:rsidR="00181BB2" w:rsidRPr="00125497" w:rsidRDefault="00181BB2" w:rsidP="00EF315B">
      <w:pPr>
        <w:rPr>
          <w:rFonts w:cstheme="minorHAnsi"/>
        </w:rPr>
      </w:pPr>
    </w:p>
    <w:p w14:paraId="5BB59891" w14:textId="77777777" w:rsidR="00181BB2" w:rsidRPr="00125497" w:rsidRDefault="00181BB2" w:rsidP="00181BB2">
      <w:pPr>
        <w:pStyle w:val="Default"/>
        <w:rPr>
          <w:rFonts w:asciiTheme="minorHAnsi" w:hAnsiTheme="minorHAnsi" w:cstheme="minorHAnsi"/>
          <w:sz w:val="22"/>
          <w:szCs w:val="22"/>
        </w:rPr>
      </w:pPr>
    </w:p>
    <w:p w14:paraId="60AAD92D" w14:textId="77777777" w:rsidR="00181BB2" w:rsidRPr="00125497" w:rsidRDefault="00181BB2" w:rsidP="00181BB2">
      <w:pPr>
        <w:pStyle w:val="Default"/>
        <w:numPr>
          <w:ilvl w:val="0"/>
          <w:numId w:val="8"/>
        </w:numPr>
        <w:spacing w:after="96"/>
        <w:rPr>
          <w:rFonts w:asciiTheme="minorHAnsi" w:hAnsiTheme="minorHAnsi" w:cstheme="minorHAnsi"/>
          <w:i/>
          <w:sz w:val="22"/>
          <w:szCs w:val="22"/>
        </w:rPr>
      </w:pPr>
      <w:r w:rsidRPr="00125497">
        <w:rPr>
          <w:rFonts w:asciiTheme="minorHAnsi" w:hAnsiTheme="minorHAnsi" w:cstheme="minorHAnsi"/>
          <w:i/>
          <w:sz w:val="22"/>
          <w:szCs w:val="22"/>
        </w:rPr>
        <w:t xml:space="preserve">An overview of the Project Activity and geographic location. </w:t>
      </w:r>
    </w:p>
    <w:p w14:paraId="1AE66666" w14:textId="167AFB63" w:rsidR="00181BB2" w:rsidRDefault="00181BB2" w:rsidP="00181BB2">
      <w:pPr>
        <w:pStyle w:val="Default"/>
        <w:spacing w:after="96"/>
        <w:rPr>
          <w:rFonts w:asciiTheme="minorHAnsi" w:hAnsiTheme="minorHAnsi" w:cstheme="minorHAnsi"/>
          <w:sz w:val="22"/>
          <w:szCs w:val="22"/>
        </w:rPr>
      </w:pPr>
    </w:p>
    <w:p w14:paraId="2D193308" w14:textId="43BB83FA" w:rsidR="002C31C1" w:rsidRPr="008A289B" w:rsidRDefault="002C31C1" w:rsidP="002C31C1">
      <w:pPr>
        <w:ind w:left="720"/>
      </w:pPr>
      <w:r w:rsidRPr="008A289B">
        <w:t xml:space="preserve">The project activity is improved forest management, with </w:t>
      </w:r>
      <w:r>
        <w:t>UT</w:t>
      </w:r>
      <w:r w:rsidRPr="008A289B">
        <w:t xml:space="preserve">’s </w:t>
      </w:r>
      <w:r>
        <w:t xml:space="preserve">improved forest management </w:t>
      </w:r>
      <w:r w:rsidRPr="008A289B">
        <w:t xml:space="preserve">practices representing an improvement in carbon storage over higher return, more aggressive management regimes. </w:t>
      </w:r>
      <w:r w:rsidR="00687035">
        <w:t>Management objectives are focused on m</w:t>
      </w:r>
      <w:r w:rsidR="00687035" w:rsidRPr="00384F14">
        <w:t>aintenance, restoration, and enhancement of the biological diversity, water quality, and ecological integrity</w:t>
      </w:r>
      <w:r w:rsidR="00687035">
        <w:t xml:space="preserve"> of the project area forest via implementation and demonstration (the project area is a research forest) of sustainable forest management practices.</w:t>
      </w:r>
    </w:p>
    <w:p w14:paraId="5C8BD018" w14:textId="3AFCCD4E" w:rsidR="002C31C1" w:rsidRPr="00384F14" w:rsidRDefault="002C31C1" w:rsidP="002C31C1">
      <w:pPr>
        <w:suppressAutoHyphens/>
        <w:ind w:left="720"/>
      </w:pPr>
      <w:r w:rsidRPr="00F4569F">
        <w:t xml:space="preserve">The </w:t>
      </w:r>
      <w:r w:rsidR="00687035" w:rsidRPr="00F4569F">
        <w:t>project area is represented by 11,</w:t>
      </w:r>
      <w:r w:rsidR="00306DEC" w:rsidRPr="00F4569F">
        <w:t>364</w:t>
      </w:r>
      <w:r w:rsidR="00687035" w:rsidRPr="00F4569F">
        <w:t xml:space="preserve"> forested acres </w:t>
      </w:r>
      <w:r w:rsidRPr="00F4569F">
        <w:t xml:space="preserve">spanning the four counties of Anderson, Franklin, Morgan, and Scott in central and eastern Tennessee.  The </w:t>
      </w:r>
      <w:r w:rsidR="00687035" w:rsidRPr="00F4569F">
        <w:t xml:space="preserve">project area </w:t>
      </w:r>
      <w:r w:rsidRPr="00F4569F">
        <w:t>is divided into four separate units:  the Highland Rim Forest</w:t>
      </w:r>
      <w:r w:rsidR="00687035" w:rsidRPr="00F4569F">
        <w:t xml:space="preserve"> (</w:t>
      </w:r>
      <w:r w:rsidR="003E398F" w:rsidRPr="00F4569F">
        <w:t>861</w:t>
      </w:r>
      <w:r w:rsidRPr="00F4569F">
        <w:t xml:space="preserve"> acres</w:t>
      </w:r>
      <w:r w:rsidR="00687035" w:rsidRPr="00F4569F">
        <w:t xml:space="preserve">), </w:t>
      </w:r>
      <w:r w:rsidRPr="00F4569F">
        <w:t>Oak Ridge Forest</w:t>
      </w:r>
      <w:r w:rsidR="00687035" w:rsidRPr="00F4569F">
        <w:t xml:space="preserve"> (</w:t>
      </w:r>
      <w:r w:rsidRPr="00F4569F">
        <w:t>2,14</w:t>
      </w:r>
      <w:r w:rsidR="003E398F" w:rsidRPr="00F4569F">
        <w:t>5</w:t>
      </w:r>
      <w:r w:rsidRPr="00F4569F">
        <w:t xml:space="preserve"> acres</w:t>
      </w:r>
      <w:r w:rsidR="00687035" w:rsidRPr="00F4569F">
        <w:t xml:space="preserve">), </w:t>
      </w:r>
      <w:r w:rsidRPr="00F4569F">
        <w:t>Cumberland Forest South</w:t>
      </w:r>
      <w:r w:rsidR="00687035" w:rsidRPr="00F4569F">
        <w:t xml:space="preserve"> (</w:t>
      </w:r>
      <w:r w:rsidRPr="00F4569F">
        <w:t>3,994 acres</w:t>
      </w:r>
      <w:r w:rsidR="00687035" w:rsidRPr="00F4569F">
        <w:t xml:space="preserve">) and </w:t>
      </w:r>
      <w:r w:rsidRPr="00F4569F">
        <w:t>Cumberland Forest North</w:t>
      </w:r>
      <w:r w:rsidR="00687035" w:rsidRPr="00F4569F">
        <w:t xml:space="preserve"> (</w:t>
      </w:r>
      <w:r w:rsidRPr="00F4569F">
        <w:t>4,3</w:t>
      </w:r>
      <w:r w:rsidR="003E398F" w:rsidRPr="00F4569F">
        <w:t>63</w:t>
      </w:r>
      <w:r w:rsidRPr="00F4569F">
        <w:t xml:space="preserve"> acres</w:t>
      </w:r>
      <w:r w:rsidR="00687035" w:rsidRPr="00F4569F">
        <w:t>)</w:t>
      </w:r>
      <w:r w:rsidRPr="00F4569F">
        <w:t>.</w:t>
      </w:r>
      <w:r w:rsidRPr="00384F14">
        <w:t xml:space="preserve">  </w:t>
      </w:r>
    </w:p>
    <w:p w14:paraId="070ACB07" w14:textId="77777777" w:rsidR="002C31C1" w:rsidRPr="00125497" w:rsidRDefault="002C31C1" w:rsidP="00181BB2">
      <w:pPr>
        <w:pStyle w:val="Default"/>
        <w:spacing w:after="96"/>
        <w:rPr>
          <w:rFonts w:asciiTheme="minorHAnsi" w:hAnsiTheme="minorHAnsi" w:cstheme="minorHAnsi"/>
          <w:sz w:val="22"/>
          <w:szCs w:val="22"/>
        </w:rPr>
      </w:pPr>
    </w:p>
    <w:p w14:paraId="13F31B3E" w14:textId="77777777" w:rsidR="00181BB2" w:rsidRPr="00125497" w:rsidRDefault="00181BB2" w:rsidP="00181BB2">
      <w:pPr>
        <w:pStyle w:val="Default"/>
        <w:numPr>
          <w:ilvl w:val="0"/>
          <w:numId w:val="8"/>
        </w:numPr>
        <w:spacing w:after="96"/>
        <w:rPr>
          <w:rFonts w:asciiTheme="minorHAnsi" w:hAnsiTheme="minorHAnsi" w:cstheme="minorHAnsi"/>
          <w:i/>
          <w:sz w:val="22"/>
          <w:szCs w:val="22"/>
        </w:rPr>
      </w:pPr>
      <w:r w:rsidRPr="00125497">
        <w:rPr>
          <w:rFonts w:asciiTheme="minorHAnsi" w:hAnsiTheme="minorHAnsi" w:cstheme="minorHAnsi"/>
          <w:i/>
          <w:sz w:val="22"/>
          <w:szCs w:val="22"/>
        </w:rPr>
        <w:t xml:space="preserve">Applicable laws, regulations, rules, and procedures and the associated oversight institutions. </w:t>
      </w:r>
    </w:p>
    <w:p w14:paraId="44FC5CF8" w14:textId="4C9B7FFE" w:rsidR="005B264C" w:rsidRDefault="00181BB2" w:rsidP="00D17F01">
      <w:pPr>
        <w:pStyle w:val="Default"/>
        <w:spacing w:after="96"/>
        <w:ind w:left="720"/>
        <w:rPr>
          <w:rFonts w:asciiTheme="minorHAnsi" w:hAnsiTheme="minorHAnsi" w:cstheme="minorHAnsi"/>
          <w:sz w:val="22"/>
          <w:szCs w:val="22"/>
        </w:rPr>
      </w:pPr>
      <w:r w:rsidRPr="00125497">
        <w:rPr>
          <w:rFonts w:asciiTheme="minorHAnsi" w:hAnsiTheme="minorHAnsi" w:cstheme="minorHAnsi"/>
          <w:sz w:val="22"/>
          <w:szCs w:val="22"/>
        </w:rPr>
        <w:t xml:space="preserve">There are no state or federal laws that </w:t>
      </w:r>
      <w:r w:rsidR="002866A4">
        <w:rPr>
          <w:rFonts w:asciiTheme="minorHAnsi" w:hAnsiTheme="minorHAnsi" w:cstheme="minorHAnsi"/>
          <w:sz w:val="22"/>
          <w:szCs w:val="22"/>
        </w:rPr>
        <w:t xml:space="preserve">regulate forest </w:t>
      </w:r>
      <w:r w:rsidRPr="00125497">
        <w:rPr>
          <w:rFonts w:asciiTheme="minorHAnsi" w:hAnsiTheme="minorHAnsi" w:cstheme="minorHAnsi"/>
          <w:sz w:val="22"/>
          <w:szCs w:val="22"/>
        </w:rPr>
        <w:t xml:space="preserve">management of </w:t>
      </w:r>
      <w:r w:rsidR="002866A4">
        <w:rPr>
          <w:rFonts w:asciiTheme="minorHAnsi" w:hAnsiTheme="minorHAnsi" w:cstheme="minorHAnsi"/>
          <w:sz w:val="22"/>
          <w:szCs w:val="22"/>
        </w:rPr>
        <w:t xml:space="preserve">the </w:t>
      </w:r>
      <w:r w:rsidR="005B264C">
        <w:rPr>
          <w:rFonts w:asciiTheme="minorHAnsi" w:hAnsiTheme="minorHAnsi" w:cstheme="minorHAnsi"/>
          <w:sz w:val="22"/>
          <w:szCs w:val="22"/>
        </w:rPr>
        <w:t>project area</w:t>
      </w:r>
      <w:r w:rsidR="00C71EBE">
        <w:rPr>
          <w:rFonts w:asciiTheme="minorHAnsi" w:hAnsiTheme="minorHAnsi" w:cstheme="minorHAnsi"/>
          <w:sz w:val="22"/>
          <w:szCs w:val="22"/>
        </w:rPr>
        <w:t xml:space="preserve">. </w:t>
      </w:r>
    </w:p>
    <w:p w14:paraId="048A027A" w14:textId="77777777" w:rsidR="005B264C" w:rsidRPr="00125497" w:rsidRDefault="005B264C" w:rsidP="00181BB2">
      <w:pPr>
        <w:pStyle w:val="Default"/>
        <w:spacing w:after="96"/>
        <w:rPr>
          <w:rFonts w:asciiTheme="minorHAnsi" w:hAnsiTheme="minorHAnsi" w:cstheme="minorHAnsi"/>
          <w:sz w:val="22"/>
          <w:szCs w:val="22"/>
        </w:rPr>
      </w:pPr>
    </w:p>
    <w:p w14:paraId="07B88D7A" w14:textId="68F5D920" w:rsidR="00181BB2" w:rsidRPr="00125497" w:rsidRDefault="00181BB2" w:rsidP="00181BB2">
      <w:pPr>
        <w:pStyle w:val="Default"/>
        <w:spacing w:after="96"/>
        <w:rPr>
          <w:rFonts w:asciiTheme="minorHAnsi" w:hAnsiTheme="minorHAnsi" w:cstheme="minorHAnsi"/>
          <w:sz w:val="22"/>
          <w:szCs w:val="22"/>
        </w:rPr>
      </w:pPr>
    </w:p>
    <w:p w14:paraId="4E183B04" w14:textId="77777777" w:rsidR="00181BB2" w:rsidRPr="003A537B" w:rsidRDefault="00181BB2" w:rsidP="00181BB2">
      <w:pPr>
        <w:pStyle w:val="Default"/>
        <w:numPr>
          <w:ilvl w:val="0"/>
          <w:numId w:val="8"/>
        </w:numPr>
        <w:spacing w:after="96"/>
        <w:rPr>
          <w:rFonts w:asciiTheme="minorHAnsi" w:hAnsiTheme="minorHAnsi" w:cstheme="minorHAnsi"/>
          <w:i/>
          <w:sz w:val="22"/>
          <w:szCs w:val="22"/>
        </w:rPr>
      </w:pPr>
      <w:r w:rsidRPr="003A537B">
        <w:rPr>
          <w:rFonts w:asciiTheme="minorHAnsi" w:hAnsiTheme="minorHAnsi" w:cstheme="minorHAnsi"/>
          <w:i/>
          <w:sz w:val="22"/>
          <w:szCs w:val="22"/>
        </w:rPr>
        <w:t>A description of the process to identify community(ies)</w:t>
      </w:r>
      <w:r w:rsidRPr="003A537B">
        <w:rPr>
          <w:rFonts w:asciiTheme="minorHAnsi" w:hAnsiTheme="minorHAnsi" w:cstheme="minorHAnsi"/>
          <w:b/>
          <w:bCs/>
          <w:i/>
          <w:sz w:val="22"/>
          <w:szCs w:val="22"/>
        </w:rPr>
        <w:t xml:space="preserve"> </w:t>
      </w:r>
      <w:r w:rsidRPr="003A537B">
        <w:rPr>
          <w:rFonts w:asciiTheme="minorHAnsi" w:hAnsiTheme="minorHAnsi" w:cstheme="minorHAnsi"/>
          <w:i/>
          <w:sz w:val="22"/>
          <w:szCs w:val="22"/>
        </w:rPr>
        <w:t>and other stakeholders</w:t>
      </w:r>
      <w:r w:rsidRPr="003A537B">
        <w:rPr>
          <w:rFonts w:asciiTheme="minorHAnsi" w:hAnsiTheme="minorHAnsi" w:cstheme="minorHAnsi"/>
          <w:b/>
          <w:bCs/>
          <w:i/>
          <w:sz w:val="22"/>
          <w:szCs w:val="22"/>
        </w:rPr>
        <w:t xml:space="preserve"> </w:t>
      </w:r>
      <w:r w:rsidRPr="003A537B">
        <w:rPr>
          <w:rFonts w:asciiTheme="minorHAnsi" w:hAnsiTheme="minorHAnsi" w:cstheme="minorHAnsi"/>
          <w:i/>
          <w:sz w:val="22"/>
          <w:szCs w:val="22"/>
        </w:rPr>
        <w:t xml:space="preserve">affected by the project and, as applicable, the community consultation and communications plan. </w:t>
      </w:r>
    </w:p>
    <w:p w14:paraId="28922E29" w14:textId="08A8579C" w:rsidR="00181BB2" w:rsidRPr="003A537B" w:rsidRDefault="00181BB2" w:rsidP="00181BB2">
      <w:pPr>
        <w:pStyle w:val="Default"/>
        <w:spacing w:after="96"/>
        <w:rPr>
          <w:rFonts w:asciiTheme="minorHAnsi" w:hAnsiTheme="minorHAnsi" w:cstheme="minorHAnsi"/>
          <w:sz w:val="22"/>
          <w:szCs w:val="22"/>
        </w:rPr>
      </w:pPr>
    </w:p>
    <w:p w14:paraId="3B7CB3ED" w14:textId="52B80751" w:rsidR="004B2EBE" w:rsidRPr="003A537B" w:rsidRDefault="004B2EBE" w:rsidP="004B2EBE">
      <w:pPr>
        <w:ind w:left="720"/>
      </w:pPr>
      <w:r w:rsidRPr="003A537B">
        <w:t xml:space="preserve">Through </w:t>
      </w:r>
      <w:r w:rsidR="00C91390" w:rsidRPr="003A537B">
        <w:t xml:space="preserve">past landowner field days and special </w:t>
      </w:r>
      <w:r w:rsidR="007E6EF1" w:rsidRPr="003A537B">
        <w:t>events a</w:t>
      </w:r>
      <w:r w:rsidRPr="003A537B">
        <w:t xml:space="preserve"> </w:t>
      </w:r>
      <w:r w:rsidR="00C91390" w:rsidRPr="003A537B">
        <w:t xml:space="preserve">historical </w:t>
      </w:r>
      <w:r w:rsidRPr="003A537B">
        <w:t xml:space="preserve">list of stakeholders </w:t>
      </w:r>
      <w:r w:rsidR="00C91390" w:rsidRPr="003A537B">
        <w:t xml:space="preserve">and clientele </w:t>
      </w:r>
      <w:r w:rsidRPr="003A537B">
        <w:t xml:space="preserve">has been complied and will be updated as needed. </w:t>
      </w:r>
      <w:r w:rsidR="007E6EF1" w:rsidRPr="003A537B">
        <w:t>Stakeholders will</w:t>
      </w:r>
      <w:r w:rsidR="00C91390" w:rsidRPr="003A537B">
        <w:t xml:space="preserve"> be </w:t>
      </w:r>
      <w:r w:rsidRPr="003A537B">
        <w:t>contact</w:t>
      </w:r>
      <w:r w:rsidR="00C91390" w:rsidRPr="003A537B">
        <w:t>ed</w:t>
      </w:r>
      <w:r w:rsidRPr="003A537B">
        <w:t xml:space="preserve">  </w:t>
      </w:r>
      <w:r w:rsidR="00C91390" w:rsidRPr="003A537B">
        <w:t xml:space="preserve">through the UT AgResearch leadership chain of command </w:t>
      </w:r>
      <w:r w:rsidRPr="003A537B">
        <w:t xml:space="preserve"> should conflict or concerns arise.   FSC will monitor stakeholder </w:t>
      </w:r>
      <w:r w:rsidR="00C91390" w:rsidRPr="003A537B">
        <w:t xml:space="preserve">and clientele </w:t>
      </w:r>
      <w:r w:rsidRPr="003A537B">
        <w:t xml:space="preserve">engagement </w:t>
      </w:r>
      <w:r w:rsidR="00C91390" w:rsidRPr="003A537B">
        <w:t xml:space="preserve">(i.e. field days, special events, and other documented contact information) </w:t>
      </w:r>
      <w:r w:rsidRPr="003A537B">
        <w:t>as a component of the annual audit.</w:t>
      </w:r>
    </w:p>
    <w:p w14:paraId="7A594138" w14:textId="1A1A54D7" w:rsidR="00D6400E" w:rsidRDefault="00D6400E" w:rsidP="00D6400E">
      <w:pPr>
        <w:ind w:left="720"/>
      </w:pPr>
      <w:r w:rsidRPr="003A537B">
        <w:t xml:space="preserve">It should be noted that a core objective of the management plan is to establish and foster positive, viable collaborations with stakeholders </w:t>
      </w:r>
      <w:r w:rsidR="00C91390" w:rsidRPr="003A537B">
        <w:t xml:space="preserve">and </w:t>
      </w:r>
      <w:r w:rsidR="007E6EF1" w:rsidRPr="003A537B">
        <w:t>clientele, and</w:t>
      </w:r>
      <w:r w:rsidRPr="003A537B">
        <w:t xml:space="preserve"> to contribute to local economies through </w:t>
      </w:r>
      <w:r w:rsidR="00C91390" w:rsidRPr="003A537B">
        <w:t xml:space="preserve">management activities </w:t>
      </w:r>
      <w:r w:rsidRPr="003A537B">
        <w:t>and by providing opportunities to the public for compatible nature-based activities like outdoor recreation</w:t>
      </w:r>
      <w:r w:rsidR="00C91390" w:rsidRPr="003A537B">
        <w:t>, education and outreach</w:t>
      </w:r>
      <w:r w:rsidRPr="003A537B">
        <w:t>.</w:t>
      </w:r>
    </w:p>
    <w:p w14:paraId="640147B5" w14:textId="77777777" w:rsidR="00D6400E" w:rsidRPr="00A36FCC" w:rsidRDefault="00D6400E" w:rsidP="004B2EBE">
      <w:pPr>
        <w:ind w:left="720"/>
      </w:pPr>
    </w:p>
    <w:p w14:paraId="496DC6CF" w14:textId="35CC6EFF" w:rsidR="00181BB2" w:rsidRPr="00125497" w:rsidRDefault="00181BB2" w:rsidP="004B2EBE">
      <w:pPr>
        <w:pStyle w:val="Default"/>
        <w:numPr>
          <w:ilvl w:val="0"/>
          <w:numId w:val="8"/>
        </w:numPr>
        <w:spacing w:after="96"/>
      </w:pPr>
      <w:r w:rsidRPr="00125497">
        <w:rPr>
          <w:rFonts w:asciiTheme="minorHAnsi" w:hAnsiTheme="minorHAnsi" w:cstheme="minorHAnsi"/>
          <w:sz w:val="22"/>
          <w:szCs w:val="22"/>
        </w:rPr>
        <w:br w:type="page"/>
      </w:r>
      <w:r w:rsidRPr="00125497">
        <w:rPr>
          <w:rFonts w:asciiTheme="minorHAnsi" w:hAnsiTheme="minorHAnsi" w:cstheme="minorHAnsi"/>
          <w:i/>
          <w:sz w:val="22"/>
          <w:szCs w:val="22"/>
        </w:rPr>
        <w:t>An assessment of the project’s environmental risks and impacts, including factors such as climate change mitigation and adaptation, biodiversity, air quality, water quality, soil quality, and ozone quality, as well as the protection, conservation, or restoration of natural habitats such as forests, grasslands, and wetlands. The assessment shall: 1) identify each risk/impact; 2) categorize the risk/impact as positive, negative, or neutral and substantiate the risk category; 3) describe how any negative impacts will be avoided, reduced, mitigated, or compensated; 4) detail how risks and impacts will be monitored, and how often and by whom; and 5) describe how positive impacts contribute to sustainable development goals (optional).</w:t>
      </w:r>
      <w:r w:rsidRPr="00125497">
        <w:rPr>
          <w:rFonts w:asciiTheme="minorHAnsi" w:hAnsiTheme="minorHAnsi" w:cstheme="minorHAnsi"/>
          <w:sz w:val="22"/>
          <w:szCs w:val="22"/>
        </w:rPr>
        <w:t xml:space="preserve"> </w:t>
      </w:r>
    </w:p>
    <w:tbl>
      <w:tblPr>
        <w:tblStyle w:val="TableGrid"/>
        <w:tblW w:w="0" w:type="auto"/>
        <w:tblLook w:val="04A0" w:firstRow="1" w:lastRow="0" w:firstColumn="1" w:lastColumn="0" w:noHBand="0" w:noVBand="1"/>
      </w:tblPr>
      <w:tblGrid>
        <w:gridCol w:w="2168"/>
        <w:gridCol w:w="2277"/>
        <w:gridCol w:w="2183"/>
        <w:gridCol w:w="2722"/>
      </w:tblGrid>
      <w:tr w:rsidR="00181BB2" w:rsidRPr="00744871" w14:paraId="7E819AB7" w14:textId="77777777" w:rsidTr="00472EF7">
        <w:trPr>
          <w:tblHeader/>
        </w:trPr>
        <w:tc>
          <w:tcPr>
            <w:tcW w:w="2168" w:type="dxa"/>
          </w:tcPr>
          <w:p w14:paraId="1370DFEC" w14:textId="77777777" w:rsidR="00181BB2" w:rsidRPr="00744871" w:rsidRDefault="00181BB2" w:rsidP="00472EF7">
            <w:pPr>
              <w:rPr>
                <w:rFonts w:cstheme="minorHAnsi"/>
                <w:b/>
              </w:rPr>
            </w:pPr>
            <w:r w:rsidRPr="00744871">
              <w:rPr>
                <w:rFonts w:cstheme="minorHAnsi"/>
                <w:b/>
              </w:rPr>
              <w:t>Risk/impact factor</w:t>
            </w:r>
          </w:p>
        </w:tc>
        <w:tc>
          <w:tcPr>
            <w:tcW w:w="2277" w:type="dxa"/>
          </w:tcPr>
          <w:p w14:paraId="6C4B29B6" w14:textId="77777777" w:rsidR="00181BB2" w:rsidRPr="00744871" w:rsidRDefault="00181BB2" w:rsidP="00472EF7">
            <w:pPr>
              <w:rPr>
                <w:rFonts w:cstheme="minorHAnsi"/>
                <w:b/>
              </w:rPr>
            </w:pPr>
            <w:r w:rsidRPr="00744871">
              <w:rPr>
                <w:rFonts w:cstheme="minorHAnsi"/>
                <w:b/>
              </w:rPr>
              <w:t>Risk category (positive, negative, neutral)</w:t>
            </w:r>
          </w:p>
        </w:tc>
        <w:tc>
          <w:tcPr>
            <w:tcW w:w="2183" w:type="dxa"/>
          </w:tcPr>
          <w:p w14:paraId="1A8C282D" w14:textId="77777777" w:rsidR="00181BB2" w:rsidRPr="00744871" w:rsidRDefault="00181BB2" w:rsidP="00472EF7">
            <w:pPr>
              <w:rPr>
                <w:rFonts w:cstheme="minorHAnsi"/>
                <w:b/>
              </w:rPr>
            </w:pPr>
            <w:r w:rsidRPr="00744871">
              <w:rPr>
                <w:rFonts w:cstheme="minorHAnsi"/>
                <w:b/>
              </w:rPr>
              <w:t>Measure(s) to avoid, reduce, mitigate, or compensate negative impacts</w:t>
            </w:r>
          </w:p>
        </w:tc>
        <w:tc>
          <w:tcPr>
            <w:tcW w:w="2722" w:type="dxa"/>
          </w:tcPr>
          <w:p w14:paraId="0DEDFFF9" w14:textId="77777777" w:rsidR="00181BB2" w:rsidRPr="00744871" w:rsidRDefault="00181BB2" w:rsidP="00472EF7">
            <w:pPr>
              <w:rPr>
                <w:rFonts w:cstheme="minorHAnsi"/>
                <w:b/>
              </w:rPr>
            </w:pPr>
            <w:r w:rsidRPr="00744871">
              <w:rPr>
                <w:rFonts w:cstheme="minorHAnsi"/>
                <w:b/>
              </w:rPr>
              <w:t>Monitoring approach</w:t>
            </w:r>
          </w:p>
        </w:tc>
      </w:tr>
      <w:tr w:rsidR="00181BB2" w:rsidRPr="00744871" w14:paraId="5473D7D7" w14:textId="77777777" w:rsidTr="00472EF7">
        <w:tc>
          <w:tcPr>
            <w:tcW w:w="2168" w:type="dxa"/>
          </w:tcPr>
          <w:p w14:paraId="4D196593" w14:textId="77777777" w:rsidR="00181BB2" w:rsidRPr="00744871" w:rsidRDefault="00181BB2" w:rsidP="00472EF7">
            <w:pPr>
              <w:rPr>
                <w:rFonts w:cstheme="minorHAnsi"/>
              </w:rPr>
            </w:pPr>
            <w:r w:rsidRPr="00744871">
              <w:rPr>
                <w:rFonts w:cstheme="minorHAnsi"/>
              </w:rPr>
              <w:t>Biodiversity</w:t>
            </w:r>
          </w:p>
        </w:tc>
        <w:tc>
          <w:tcPr>
            <w:tcW w:w="2277" w:type="dxa"/>
          </w:tcPr>
          <w:p w14:paraId="419CBAB8" w14:textId="358366EC" w:rsidR="00181BB2" w:rsidRPr="00744871" w:rsidRDefault="001C367C" w:rsidP="00472EF7">
            <w:pPr>
              <w:rPr>
                <w:rFonts w:cstheme="minorHAnsi"/>
              </w:rPr>
            </w:pPr>
            <w:r w:rsidRPr="00744871">
              <w:rPr>
                <w:rFonts w:cstheme="minorHAnsi"/>
              </w:rPr>
              <w:t xml:space="preserve">Positive – Forest management of the project area centers on </w:t>
            </w:r>
            <w:r w:rsidRPr="00744871">
              <w:t xml:space="preserve">maintenance, restoration, and enhancement of biological diversity, water quality, and ecological integrity. Forest-dependent species are expected benefit from maintenance of forest cover in a range of seral stages. Restoration of shortleaf pine at the </w:t>
            </w:r>
            <w:r w:rsidR="003017AA">
              <w:t xml:space="preserve">Cumberland Forest and </w:t>
            </w:r>
            <w:r w:rsidRPr="00744871">
              <w:t xml:space="preserve">Highland Rim property </w:t>
            </w:r>
            <w:r w:rsidR="008A1383" w:rsidRPr="00744871">
              <w:t>is aimed at re-establishing this once important forest type, and the species associated with it.</w:t>
            </w:r>
          </w:p>
        </w:tc>
        <w:tc>
          <w:tcPr>
            <w:tcW w:w="2183" w:type="dxa"/>
          </w:tcPr>
          <w:p w14:paraId="34B403C7" w14:textId="56858F49" w:rsidR="00181BB2" w:rsidRPr="00744871" w:rsidRDefault="00E73095" w:rsidP="00472EF7">
            <w:pPr>
              <w:rPr>
                <w:rFonts w:cstheme="minorHAnsi"/>
              </w:rPr>
            </w:pPr>
            <w:r w:rsidRPr="00744871">
              <w:rPr>
                <w:rFonts w:cstheme="minorHAnsi"/>
              </w:rPr>
              <w:t>N/A</w:t>
            </w:r>
          </w:p>
        </w:tc>
        <w:tc>
          <w:tcPr>
            <w:tcW w:w="2722" w:type="dxa"/>
          </w:tcPr>
          <w:p w14:paraId="32E728DE" w14:textId="260C7525" w:rsidR="003D7031" w:rsidRPr="00744871" w:rsidRDefault="003D7031" w:rsidP="00472EF7">
            <w:r w:rsidRPr="00744871">
              <w:t>Identification of key ecological attributes (habitat maintenance, indicator species, etc.) in cooperation with shifting goals and management objectives for short and long-term desired results. Key Economic and Ecological Attributes (KEEA) monitoring requires a full inventory every 10 years to accurately assess and monitor forest conditions. This monitoring will also provide information on rare species and communities.</w:t>
            </w:r>
          </w:p>
          <w:p w14:paraId="3F904ADB" w14:textId="77777777" w:rsidR="003D7031" w:rsidRPr="00744871" w:rsidRDefault="003D7031" w:rsidP="00472EF7"/>
          <w:p w14:paraId="7901C873" w14:textId="062564E1" w:rsidR="00365D77" w:rsidRPr="00744871" w:rsidRDefault="00E73095" w:rsidP="00472EF7">
            <w:pPr>
              <w:rPr>
                <w:rFonts w:cstheme="minorHAnsi"/>
              </w:rPr>
            </w:pPr>
            <w:r w:rsidRPr="00744871">
              <w:rPr>
                <w:rFonts w:cstheme="minorHAnsi"/>
              </w:rPr>
              <w:t xml:space="preserve">The project area will </w:t>
            </w:r>
            <w:r w:rsidR="003D7031" w:rsidRPr="00744871">
              <w:rPr>
                <w:rFonts w:cstheme="minorHAnsi"/>
              </w:rPr>
              <w:t xml:space="preserve">also </w:t>
            </w:r>
            <w:r w:rsidRPr="00744871">
              <w:rPr>
                <w:rFonts w:cstheme="minorHAnsi"/>
              </w:rPr>
              <w:t>host research initiatives to assess the impacts of forest management on biodiversity.</w:t>
            </w:r>
          </w:p>
        </w:tc>
      </w:tr>
      <w:tr w:rsidR="00181BB2" w:rsidRPr="00744871" w14:paraId="5D524F88" w14:textId="77777777" w:rsidTr="00472EF7">
        <w:tc>
          <w:tcPr>
            <w:tcW w:w="2168" w:type="dxa"/>
          </w:tcPr>
          <w:p w14:paraId="7B2C3AE1" w14:textId="77777777" w:rsidR="00181BB2" w:rsidRPr="00744871" w:rsidRDefault="00181BB2" w:rsidP="00472EF7">
            <w:pPr>
              <w:rPr>
                <w:rFonts w:cstheme="minorHAnsi"/>
              </w:rPr>
            </w:pPr>
            <w:r w:rsidRPr="00744871">
              <w:rPr>
                <w:rFonts w:cstheme="minorHAnsi"/>
              </w:rPr>
              <w:t>Water Quality</w:t>
            </w:r>
          </w:p>
        </w:tc>
        <w:tc>
          <w:tcPr>
            <w:tcW w:w="2277" w:type="dxa"/>
          </w:tcPr>
          <w:p w14:paraId="4AF2237D" w14:textId="77777777" w:rsidR="00181BB2" w:rsidRPr="00744871" w:rsidRDefault="001C367C" w:rsidP="00472EF7">
            <w:r w:rsidRPr="00744871">
              <w:rPr>
                <w:rFonts w:cstheme="minorHAnsi"/>
              </w:rPr>
              <w:t xml:space="preserve">Positive – Forest management of the project area centers on </w:t>
            </w:r>
            <w:r w:rsidRPr="00744871">
              <w:t>maintenance, restoration, and enhancement of biological diversity, water quality, and ecological integrity.</w:t>
            </w:r>
          </w:p>
          <w:p w14:paraId="0A69708C" w14:textId="6523DEF9" w:rsidR="00E73095" w:rsidRPr="00744871" w:rsidRDefault="00E73095" w:rsidP="00472EF7">
            <w:pPr>
              <w:rPr>
                <w:rFonts w:cstheme="minorHAnsi"/>
              </w:rPr>
            </w:pPr>
            <w:r w:rsidRPr="00744871">
              <w:rPr>
                <w:rFonts w:cstheme="minorHAnsi"/>
              </w:rPr>
              <w:t xml:space="preserve">Maintenance of </w:t>
            </w:r>
            <w:r w:rsidR="003A0C4F" w:rsidRPr="00744871">
              <w:rPr>
                <w:rFonts w:cstheme="minorHAnsi"/>
              </w:rPr>
              <w:t xml:space="preserve">extensive areas of canopy closure (relative to the baseline scenario) </w:t>
            </w:r>
            <w:r w:rsidRPr="00744871">
              <w:rPr>
                <w:rFonts w:cstheme="minorHAnsi"/>
              </w:rPr>
              <w:t>is expected to improve infiltration and reduce overland flow and siltation.</w:t>
            </w:r>
          </w:p>
        </w:tc>
        <w:tc>
          <w:tcPr>
            <w:tcW w:w="2183" w:type="dxa"/>
          </w:tcPr>
          <w:p w14:paraId="0A0F721F" w14:textId="7AE39DEF" w:rsidR="00181BB2" w:rsidRPr="00744871" w:rsidRDefault="001C367C" w:rsidP="00472EF7">
            <w:pPr>
              <w:rPr>
                <w:rFonts w:cstheme="minorHAnsi"/>
              </w:rPr>
            </w:pPr>
            <w:r w:rsidRPr="00744871">
              <w:rPr>
                <w:rFonts w:cstheme="minorHAnsi"/>
              </w:rPr>
              <w:t>All forest management activities will comply with state of Tennessee BMPs.</w:t>
            </w:r>
          </w:p>
        </w:tc>
        <w:tc>
          <w:tcPr>
            <w:tcW w:w="2722" w:type="dxa"/>
          </w:tcPr>
          <w:p w14:paraId="0D99B8C7" w14:textId="43F16F97" w:rsidR="00181BB2" w:rsidRPr="00744871" w:rsidRDefault="007C0EF3" w:rsidP="00472EF7">
            <w:pPr>
              <w:rPr>
                <w:rFonts w:cstheme="minorHAnsi"/>
              </w:rPr>
            </w:pPr>
            <w:r w:rsidRPr="00744871">
              <w:rPr>
                <w:rFonts w:cstheme="minorHAnsi"/>
              </w:rPr>
              <w:t>Water quality and BMP monitoring will be done at least weekly by UTIA FREC staff during periods of active management, and adaptive management/feedback is monitored continually as a part of the FSC Forest Management Plan.</w:t>
            </w:r>
          </w:p>
        </w:tc>
      </w:tr>
      <w:tr w:rsidR="00181BB2" w:rsidRPr="00744871" w14:paraId="4479C829" w14:textId="77777777" w:rsidTr="00472EF7">
        <w:tc>
          <w:tcPr>
            <w:tcW w:w="2168" w:type="dxa"/>
          </w:tcPr>
          <w:p w14:paraId="39C1F8D0" w14:textId="77777777" w:rsidR="00181BB2" w:rsidRPr="00744871" w:rsidRDefault="00181BB2" w:rsidP="00472EF7">
            <w:pPr>
              <w:rPr>
                <w:rFonts w:cstheme="minorHAnsi"/>
              </w:rPr>
            </w:pPr>
            <w:r w:rsidRPr="00744871">
              <w:rPr>
                <w:rFonts w:cstheme="minorHAnsi"/>
              </w:rPr>
              <w:t>Soil Quality</w:t>
            </w:r>
          </w:p>
        </w:tc>
        <w:tc>
          <w:tcPr>
            <w:tcW w:w="2277" w:type="dxa"/>
          </w:tcPr>
          <w:p w14:paraId="61730652" w14:textId="7F0D3B7E" w:rsidR="00181BB2" w:rsidRPr="00744871" w:rsidRDefault="008D100C" w:rsidP="00472EF7">
            <w:pPr>
              <w:rPr>
                <w:rFonts w:cstheme="minorHAnsi"/>
              </w:rPr>
            </w:pPr>
            <w:r w:rsidRPr="00744871">
              <w:rPr>
                <w:rFonts w:cstheme="minorHAnsi"/>
              </w:rPr>
              <w:t xml:space="preserve">Neutral – </w:t>
            </w:r>
            <w:r w:rsidR="007C0EF3" w:rsidRPr="00744871">
              <w:rPr>
                <w:rFonts w:cstheme="minorHAnsi"/>
              </w:rPr>
              <w:t>While erosion is always a concern, the High Conservation Value Area (HCV) buffers identified in the FSC forest management plan and riparian buffers address those concerns. There are no areas on the property that would be considered critical to prevent erosio</w:t>
            </w:r>
            <w:r w:rsidRPr="00744871">
              <w:rPr>
                <w:rFonts w:cstheme="minorHAnsi"/>
              </w:rPr>
              <w:t>n, landslides, avalanches, etc.</w:t>
            </w:r>
          </w:p>
        </w:tc>
        <w:tc>
          <w:tcPr>
            <w:tcW w:w="2183" w:type="dxa"/>
          </w:tcPr>
          <w:p w14:paraId="14C671ED" w14:textId="04186888" w:rsidR="00181BB2" w:rsidRPr="00744871" w:rsidRDefault="007C0EF3" w:rsidP="00472EF7">
            <w:pPr>
              <w:rPr>
                <w:rFonts w:cstheme="minorHAnsi"/>
              </w:rPr>
            </w:pPr>
            <w:r w:rsidRPr="00744871">
              <w:rPr>
                <w:rFonts w:cstheme="minorHAnsi"/>
              </w:rPr>
              <w:t>N/A</w:t>
            </w:r>
          </w:p>
        </w:tc>
        <w:tc>
          <w:tcPr>
            <w:tcW w:w="2722" w:type="dxa"/>
          </w:tcPr>
          <w:p w14:paraId="1C0D476C" w14:textId="01374FAB" w:rsidR="00181BB2" w:rsidRPr="00744871" w:rsidRDefault="007C0EF3" w:rsidP="00472EF7">
            <w:pPr>
              <w:rPr>
                <w:rFonts w:cstheme="minorHAnsi"/>
              </w:rPr>
            </w:pPr>
            <w:r w:rsidRPr="00744871">
              <w:rPr>
                <w:rFonts w:cstheme="minorHAnsi"/>
              </w:rPr>
              <w:t>N/A</w:t>
            </w:r>
          </w:p>
        </w:tc>
      </w:tr>
      <w:tr w:rsidR="008143D8" w:rsidRPr="00744871" w14:paraId="06240932" w14:textId="77777777" w:rsidTr="00472EF7">
        <w:tc>
          <w:tcPr>
            <w:tcW w:w="2168" w:type="dxa"/>
          </w:tcPr>
          <w:p w14:paraId="0F00A324" w14:textId="77777777" w:rsidR="008143D8" w:rsidRPr="00744871" w:rsidRDefault="008143D8" w:rsidP="008143D8">
            <w:pPr>
              <w:rPr>
                <w:rFonts w:cstheme="minorHAnsi"/>
              </w:rPr>
            </w:pPr>
            <w:r w:rsidRPr="00744871">
              <w:rPr>
                <w:rFonts w:cstheme="minorHAnsi"/>
              </w:rPr>
              <w:t>Natural Habitat</w:t>
            </w:r>
          </w:p>
        </w:tc>
        <w:tc>
          <w:tcPr>
            <w:tcW w:w="2277" w:type="dxa"/>
          </w:tcPr>
          <w:p w14:paraId="7D8067BA" w14:textId="37496733" w:rsidR="008143D8" w:rsidRPr="00744871" w:rsidRDefault="008143D8" w:rsidP="008143D8">
            <w:pPr>
              <w:rPr>
                <w:rFonts w:cstheme="minorHAnsi"/>
              </w:rPr>
            </w:pPr>
            <w:r w:rsidRPr="00744871">
              <w:rPr>
                <w:rFonts w:cstheme="minorHAnsi"/>
              </w:rPr>
              <w:t xml:space="preserve">Positive – Forest management of the project area centers on </w:t>
            </w:r>
            <w:r w:rsidRPr="00744871">
              <w:t>maintenance, restoration, and enhancement of biological diversity, water quality, and ecological integrity. Forest habitat will be maintained in a range of seral stages, and shortleaf pine habitat restored at the Highland Rim property.</w:t>
            </w:r>
          </w:p>
        </w:tc>
        <w:tc>
          <w:tcPr>
            <w:tcW w:w="2183" w:type="dxa"/>
          </w:tcPr>
          <w:p w14:paraId="4218538A" w14:textId="59321670" w:rsidR="008143D8" w:rsidRPr="00744871" w:rsidRDefault="008143D8" w:rsidP="008143D8">
            <w:pPr>
              <w:rPr>
                <w:rFonts w:cstheme="minorHAnsi"/>
              </w:rPr>
            </w:pPr>
            <w:r w:rsidRPr="00744871">
              <w:rPr>
                <w:rFonts w:cstheme="minorHAnsi"/>
              </w:rPr>
              <w:t>Areas where concerns arise through monitoring will be visited and checked, and any issues followed up on.</w:t>
            </w:r>
          </w:p>
        </w:tc>
        <w:tc>
          <w:tcPr>
            <w:tcW w:w="2722" w:type="dxa"/>
          </w:tcPr>
          <w:p w14:paraId="47CD5ADA" w14:textId="7AAD7FA2" w:rsidR="008143D8" w:rsidRPr="00744871" w:rsidRDefault="008143D8" w:rsidP="008143D8">
            <w:pPr>
              <w:rPr>
                <w:rFonts w:cstheme="minorHAnsi"/>
              </w:rPr>
            </w:pPr>
            <w:r w:rsidRPr="00744871">
              <w:rPr>
                <w:rFonts w:cstheme="minorHAnsi"/>
              </w:rPr>
              <w:t>In High Conservation Value Areas where a hands-off approach is appropriate, there will be a less intensive monitoring approach taken, along the following lines. Specific changes in species composition, structure, etc., will be captured in periodic inventories and regular ocular monitoring. HCV areas are also visited during periodic inventory procedures.</w:t>
            </w:r>
          </w:p>
          <w:p w14:paraId="2C232B20" w14:textId="77777777" w:rsidR="008143D8" w:rsidRPr="00744871" w:rsidRDefault="008143D8" w:rsidP="008143D8">
            <w:pPr>
              <w:rPr>
                <w:rFonts w:cstheme="minorHAnsi"/>
              </w:rPr>
            </w:pPr>
          </w:p>
          <w:p w14:paraId="5C3A3181" w14:textId="2C82448B" w:rsidR="008143D8" w:rsidRPr="00744871" w:rsidRDefault="008143D8" w:rsidP="008143D8">
            <w:pPr>
              <w:rPr>
                <w:rFonts w:cstheme="minorHAnsi"/>
              </w:rPr>
            </w:pPr>
            <w:r w:rsidRPr="00744871">
              <w:rPr>
                <w:rFonts w:cstheme="minorHAnsi"/>
              </w:rPr>
              <w:t>For the purposes of this assessment and more generally, UT forest managers and TNC staff regularly consult with biologists from the TN Natural Heritage Program.</w:t>
            </w:r>
          </w:p>
          <w:p w14:paraId="3803D58B" w14:textId="77777777" w:rsidR="008143D8" w:rsidRPr="00744871" w:rsidRDefault="008143D8" w:rsidP="008143D8">
            <w:pPr>
              <w:rPr>
                <w:rFonts w:cstheme="minorHAnsi"/>
              </w:rPr>
            </w:pPr>
          </w:p>
        </w:tc>
      </w:tr>
      <w:tr w:rsidR="008143D8" w:rsidRPr="00744871" w14:paraId="619B95C4" w14:textId="77777777" w:rsidTr="00472EF7">
        <w:tc>
          <w:tcPr>
            <w:tcW w:w="2168" w:type="dxa"/>
          </w:tcPr>
          <w:p w14:paraId="2F817285" w14:textId="6AFA4F0B" w:rsidR="008143D8" w:rsidRPr="00744871" w:rsidRDefault="008143D8" w:rsidP="008143D8">
            <w:pPr>
              <w:rPr>
                <w:rFonts w:cstheme="minorHAnsi"/>
              </w:rPr>
            </w:pPr>
            <w:r w:rsidRPr="00744871">
              <w:rPr>
                <w:rFonts w:cstheme="minorHAnsi"/>
              </w:rPr>
              <w:t>Cultural and Social Impact</w:t>
            </w:r>
          </w:p>
        </w:tc>
        <w:tc>
          <w:tcPr>
            <w:tcW w:w="2277" w:type="dxa"/>
          </w:tcPr>
          <w:p w14:paraId="2C2B71A7" w14:textId="0B617965" w:rsidR="008143D8" w:rsidRPr="00744871" w:rsidRDefault="008143D8" w:rsidP="008143D8">
            <w:pPr>
              <w:rPr>
                <w:rFonts w:cstheme="minorHAnsi"/>
              </w:rPr>
            </w:pPr>
          </w:p>
        </w:tc>
        <w:tc>
          <w:tcPr>
            <w:tcW w:w="2183" w:type="dxa"/>
          </w:tcPr>
          <w:p w14:paraId="19B3E14C" w14:textId="02016A8E" w:rsidR="008143D8" w:rsidRPr="00744871" w:rsidRDefault="008143D8" w:rsidP="008143D8">
            <w:pPr>
              <w:rPr>
                <w:rFonts w:cstheme="minorHAnsi"/>
              </w:rPr>
            </w:pPr>
          </w:p>
        </w:tc>
        <w:tc>
          <w:tcPr>
            <w:tcW w:w="2722" w:type="dxa"/>
          </w:tcPr>
          <w:p w14:paraId="24D6DAFB" w14:textId="0AD231ED" w:rsidR="008143D8" w:rsidRPr="00744871" w:rsidRDefault="008143D8" w:rsidP="008143D8">
            <w:pPr>
              <w:rPr>
                <w:rFonts w:cstheme="minorHAnsi"/>
              </w:rPr>
            </w:pPr>
            <w:r w:rsidRPr="00744871">
              <w:rPr>
                <w:rFonts w:cstheme="minorHAnsi"/>
              </w:rPr>
              <w:t>For the purposes of this assessment and more generally, UT forest managers and TNC staff regularly consult with cultural experts from the TN State Historic Preservation Office.</w:t>
            </w:r>
          </w:p>
        </w:tc>
      </w:tr>
    </w:tbl>
    <w:p w14:paraId="699F62AF" w14:textId="77777777" w:rsidR="00181BB2" w:rsidRPr="00125497" w:rsidRDefault="00181BB2" w:rsidP="00181BB2">
      <w:pPr>
        <w:pStyle w:val="Default"/>
        <w:spacing w:after="96"/>
        <w:rPr>
          <w:rFonts w:asciiTheme="minorHAnsi" w:hAnsiTheme="minorHAnsi" w:cstheme="minorHAnsi"/>
          <w:sz w:val="22"/>
          <w:szCs w:val="22"/>
        </w:rPr>
      </w:pPr>
    </w:p>
    <w:p w14:paraId="2299B49C" w14:textId="77777777" w:rsidR="00181BB2" w:rsidRPr="00125497" w:rsidRDefault="00181BB2" w:rsidP="00181BB2">
      <w:pPr>
        <w:pStyle w:val="Default"/>
        <w:numPr>
          <w:ilvl w:val="0"/>
          <w:numId w:val="9"/>
        </w:numPr>
        <w:rPr>
          <w:rFonts w:asciiTheme="minorHAnsi" w:hAnsiTheme="minorHAnsi" w:cstheme="minorHAnsi"/>
          <w:i/>
          <w:sz w:val="22"/>
          <w:szCs w:val="22"/>
        </w:rPr>
      </w:pPr>
      <w:r w:rsidRPr="00125497">
        <w:rPr>
          <w:rFonts w:asciiTheme="minorHAnsi" w:hAnsiTheme="minorHAnsi" w:cstheme="minorHAnsi"/>
          <w:i/>
          <w:sz w:val="22"/>
          <w:szCs w:val="22"/>
        </w:rPr>
        <w:t xml:space="preserve">For community-based projects, an assessment of the project’s community risks and impacts, including factors such as land and natural resource tenure, land use and access arrangements, natural resource access (e.g., water, fuelwood), food security, land conflicts, economic development and jobs, cultural heritage, and relocation. The assessment shall: 1) briefly describe the process to identify community risks/impacts; 2) identify each risk/impact; 3) categorize the risk/impact as positive, negative, or neutral, and substantiate the risk category; 4) provide detailed information regarding the community stakeholder consultation process (e.g., meeting minutes, attendees), including documentation of stakeholder comments and concerns and how those are addressed; 5) provide evidence of Free, Prior and Informed Consent for the Project Activity, as applicable; 6) provide evidence of no relocation or resettlement (voluntary or involuntary), as applicable; 7) describe how any negative project impacts will be avoided, reduced, mitigated, or compensated; 8) detail how risks/impacts will be monitored, and how often and by whom; 9) describe the mechanism for ongoing communications with the community and grievance mechanisms, as applicable; and 10) de-scribe how positive impacts contribute to sustainable development goals (optional). </w:t>
      </w:r>
    </w:p>
    <w:p w14:paraId="7DB280C3" w14:textId="77777777" w:rsidR="00181BB2" w:rsidRPr="00125497" w:rsidRDefault="00181BB2" w:rsidP="00181BB2">
      <w:pPr>
        <w:pStyle w:val="Default"/>
        <w:rPr>
          <w:rFonts w:asciiTheme="minorHAnsi" w:hAnsiTheme="minorHAnsi" w:cstheme="minorHAnsi"/>
          <w:sz w:val="22"/>
          <w:szCs w:val="22"/>
        </w:rPr>
      </w:pPr>
    </w:p>
    <w:p w14:paraId="4402AC9B" w14:textId="7E61155E" w:rsidR="00181BB2" w:rsidRPr="00D51F54" w:rsidRDefault="001B5EE4" w:rsidP="00D17F01">
      <w:pPr>
        <w:ind w:left="720"/>
        <w:rPr>
          <w:rFonts w:cstheme="minorHAnsi"/>
        </w:rPr>
      </w:pPr>
      <w:r w:rsidRPr="00D51F54">
        <w:rPr>
          <w:rFonts w:cstheme="minorHAnsi"/>
        </w:rPr>
        <w:t>The project</w:t>
      </w:r>
      <w:r w:rsidR="00181BB2" w:rsidRPr="00D51F54">
        <w:rPr>
          <w:rFonts w:cstheme="minorHAnsi"/>
        </w:rPr>
        <w:t xml:space="preserve"> is a not a community-based project. </w:t>
      </w:r>
    </w:p>
    <w:p w14:paraId="40943192" w14:textId="2646832A" w:rsidR="00737424" w:rsidRPr="00D51F54" w:rsidRDefault="00D51F54" w:rsidP="00D51F54">
      <w:pPr>
        <w:pStyle w:val="ListParagraph"/>
        <w:keepNext/>
        <w:keepLines/>
        <w:numPr>
          <w:ilvl w:val="0"/>
          <w:numId w:val="9"/>
        </w:numPr>
        <w:autoSpaceDE w:val="0"/>
        <w:autoSpaceDN w:val="0"/>
        <w:adjustRightInd w:val="0"/>
        <w:rPr>
          <w:rFonts w:ascii="Helv" w:hAnsi="Helv" w:cs="Helv"/>
          <w:sz w:val="20"/>
          <w:szCs w:val="20"/>
        </w:rPr>
      </w:pPr>
      <w:r w:rsidRPr="00D22B11">
        <w:rPr>
          <w:rFonts w:ascii="Helv" w:hAnsi="Helv" w:cs="Helv"/>
          <w:i/>
          <w:iCs/>
          <w:sz w:val="20"/>
          <w:szCs w:val="20"/>
        </w:rPr>
        <w:t>Sustainable Development Impacts</w:t>
      </w:r>
      <w:r>
        <w:rPr>
          <w:rFonts w:ascii="Helv" w:hAnsi="Helv" w:cs="Helv"/>
          <w:sz w:val="20"/>
          <w:szCs w:val="20"/>
        </w:rPr>
        <w:t xml:space="preserve"> (</w:t>
      </w:r>
      <w:r w:rsidRPr="00D51F54">
        <w:rPr>
          <w:rFonts w:ascii="Helv" w:hAnsi="Helv" w:cs="Helv"/>
          <w:i/>
          <w:iCs/>
          <w:sz w:val="20"/>
          <w:szCs w:val="20"/>
        </w:rPr>
        <w:t>sdgs.un.org/goals</w:t>
      </w:r>
      <w:r>
        <w:rPr>
          <w:rFonts w:ascii="Helv" w:hAnsi="Helv" w:cs="Helv"/>
          <w:i/>
          <w:iCs/>
          <w:sz w:val="20"/>
          <w:szCs w:val="20"/>
        </w:rPr>
        <w:t>)</w:t>
      </w:r>
    </w:p>
    <w:p w14:paraId="7F5DCB39" w14:textId="101DAE59" w:rsidR="00D51F54" w:rsidRPr="00D51F54" w:rsidRDefault="00D51F54" w:rsidP="0019463F">
      <w:pPr>
        <w:autoSpaceDE w:val="0"/>
        <w:autoSpaceDN w:val="0"/>
        <w:adjustRightInd w:val="0"/>
        <w:ind w:left="720"/>
        <w:rPr>
          <w:rFonts w:ascii="Helv" w:hAnsi="Helv" w:cs="Helv"/>
          <w:sz w:val="20"/>
          <w:szCs w:val="20"/>
        </w:rPr>
      </w:pPr>
      <w:r w:rsidRPr="00D51F54">
        <w:rPr>
          <w:rFonts w:ascii="Helv" w:hAnsi="Helv" w:cs="Helv"/>
          <w:sz w:val="20"/>
          <w:szCs w:val="20"/>
        </w:rPr>
        <w:t>Goal 4</w:t>
      </w:r>
      <w:r w:rsidR="0019463F">
        <w:rPr>
          <w:rFonts w:ascii="Helv" w:hAnsi="Helv" w:cs="Helv"/>
          <w:sz w:val="20"/>
          <w:szCs w:val="20"/>
        </w:rPr>
        <w:t xml:space="preserve"> (</w:t>
      </w:r>
      <w:r w:rsidR="0019463F" w:rsidRPr="0019463F">
        <w:rPr>
          <w:rFonts w:ascii="Helv" w:hAnsi="Helv" w:cs="Helv"/>
          <w:sz w:val="20"/>
          <w:szCs w:val="20"/>
        </w:rPr>
        <w:t>Ensure inclusive and equitable quality education and promote lifelong learning opportunities for all</w:t>
      </w:r>
      <w:r w:rsidR="0019463F">
        <w:rPr>
          <w:rFonts w:ascii="Helv" w:hAnsi="Helv" w:cs="Helv"/>
          <w:sz w:val="20"/>
          <w:szCs w:val="20"/>
        </w:rPr>
        <w:t>)</w:t>
      </w:r>
      <w:r w:rsidRPr="00D51F54">
        <w:rPr>
          <w:rFonts w:ascii="Helv" w:hAnsi="Helv" w:cs="Helv"/>
          <w:sz w:val="20"/>
          <w:szCs w:val="20"/>
        </w:rPr>
        <w:t>- The University of Tennessee will incorporate the project into teaching curricula and establish a Climate Smart Forestry Fund to train students in sustainable forestry and carbon offsetting technical and vocational skills, translating to valuable new services that are currently</w:t>
      </w:r>
      <w:r w:rsidR="0019463F">
        <w:rPr>
          <w:rFonts w:ascii="Helv" w:hAnsi="Helv" w:cs="Helv"/>
          <w:sz w:val="20"/>
          <w:szCs w:val="20"/>
        </w:rPr>
        <w:t xml:space="preserve"> </w:t>
      </w:r>
      <w:r w:rsidRPr="00D51F54">
        <w:rPr>
          <w:rFonts w:ascii="Helv" w:hAnsi="Helv" w:cs="Helv"/>
          <w:sz w:val="20"/>
          <w:szCs w:val="20"/>
        </w:rPr>
        <w:t>scarce in the workforce.</w:t>
      </w:r>
    </w:p>
    <w:p w14:paraId="7B73977B" w14:textId="0823E54A" w:rsidR="00D51F54" w:rsidRPr="00D51F54" w:rsidRDefault="00D51F54" w:rsidP="0019463F">
      <w:pPr>
        <w:autoSpaceDE w:val="0"/>
        <w:autoSpaceDN w:val="0"/>
        <w:adjustRightInd w:val="0"/>
        <w:ind w:left="720"/>
        <w:rPr>
          <w:rFonts w:ascii="Helv" w:hAnsi="Helv" w:cs="Helv"/>
          <w:sz w:val="20"/>
          <w:szCs w:val="20"/>
        </w:rPr>
      </w:pPr>
      <w:r w:rsidRPr="00D51F54">
        <w:rPr>
          <w:rFonts w:ascii="Helv" w:hAnsi="Helv" w:cs="Helv"/>
          <w:sz w:val="20"/>
          <w:szCs w:val="20"/>
        </w:rPr>
        <w:t>Goal 6</w:t>
      </w:r>
      <w:r w:rsidR="0019463F">
        <w:rPr>
          <w:rFonts w:ascii="Helv" w:hAnsi="Helv" w:cs="Helv"/>
          <w:sz w:val="20"/>
          <w:szCs w:val="20"/>
        </w:rPr>
        <w:t xml:space="preserve"> (</w:t>
      </w:r>
      <w:r w:rsidR="0019463F" w:rsidRPr="0019463F">
        <w:rPr>
          <w:rFonts w:ascii="Helv" w:hAnsi="Helv" w:cs="Helv"/>
          <w:sz w:val="20"/>
          <w:szCs w:val="20"/>
        </w:rPr>
        <w:t>Ensure availability and sustainable management of water and sanitation for all</w:t>
      </w:r>
      <w:r w:rsidR="0019463F">
        <w:rPr>
          <w:rFonts w:ascii="Helv" w:hAnsi="Helv" w:cs="Helv"/>
          <w:sz w:val="20"/>
          <w:szCs w:val="20"/>
        </w:rPr>
        <w:t>)</w:t>
      </w:r>
      <w:r w:rsidRPr="00D51F54">
        <w:rPr>
          <w:rFonts w:ascii="Helv" w:hAnsi="Helv" w:cs="Helv"/>
          <w:sz w:val="20"/>
          <w:szCs w:val="20"/>
        </w:rPr>
        <w:t>- The forests lie in the headwaters of the Tennessee River and Cumberland River</w:t>
      </w:r>
      <w:r w:rsidR="0019463F">
        <w:rPr>
          <w:rFonts w:ascii="Helv" w:hAnsi="Helv" w:cs="Helv"/>
          <w:sz w:val="20"/>
          <w:szCs w:val="20"/>
        </w:rPr>
        <w:t xml:space="preserve"> </w:t>
      </w:r>
      <w:r w:rsidRPr="00D51F54">
        <w:rPr>
          <w:rFonts w:ascii="Helv" w:hAnsi="Helv" w:cs="Helv"/>
          <w:sz w:val="20"/>
          <w:szCs w:val="20"/>
        </w:rPr>
        <w:t>watersheds. A rigorous and certified forest management plan will protect and restore</w:t>
      </w:r>
      <w:r w:rsidR="0019463F">
        <w:rPr>
          <w:rFonts w:ascii="Helv" w:hAnsi="Helv" w:cs="Helv"/>
          <w:sz w:val="20"/>
          <w:szCs w:val="20"/>
        </w:rPr>
        <w:t xml:space="preserve"> </w:t>
      </w:r>
      <w:r w:rsidRPr="00D51F54">
        <w:rPr>
          <w:rFonts w:ascii="Helv" w:hAnsi="Helv" w:cs="Helv"/>
          <w:sz w:val="20"/>
          <w:szCs w:val="20"/>
        </w:rPr>
        <w:t>water-related ecosystems, including mountains, forests, wetlands, rivers, and lakes.</w:t>
      </w:r>
    </w:p>
    <w:p w14:paraId="5231B612" w14:textId="089CF279" w:rsidR="00D51F54" w:rsidRPr="00D51F54" w:rsidRDefault="00D51F54" w:rsidP="0019463F">
      <w:pPr>
        <w:autoSpaceDE w:val="0"/>
        <w:autoSpaceDN w:val="0"/>
        <w:adjustRightInd w:val="0"/>
        <w:ind w:left="720"/>
        <w:rPr>
          <w:rFonts w:ascii="Helv" w:hAnsi="Helv" w:cs="Helv"/>
          <w:sz w:val="20"/>
          <w:szCs w:val="20"/>
        </w:rPr>
      </w:pPr>
      <w:r w:rsidRPr="00D51F54">
        <w:rPr>
          <w:rFonts w:ascii="Helv" w:hAnsi="Helv" w:cs="Helv"/>
          <w:sz w:val="20"/>
          <w:szCs w:val="20"/>
        </w:rPr>
        <w:t>Goal 13</w:t>
      </w:r>
      <w:r w:rsidR="0019463F">
        <w:rPr>
          <w:rFonts w:ascii="Helv" w:hAnsi="Helv" w:cs="Helv"/>
          <w:sz w:val="20"/>
          <w:szCs w:val="20"/>
        </w:rPr>
        <w:t xml:space="preserve"> (</w:t>
      </w:r>
      <w:r w:rsidR="0019463F" w:rsidRPr="0019463F">
        <w:rPr>
          <w:rFonts w:ascii="Helv" w:hAnsi="Helv" w:cs="Helv"/>
          <w:sz w:val="20"/>
          <w:szCs w:val="20"/>
        </w:rPr>
        <w:t>Take urgent action to combat climate change and its impacts</w:t>
      </w:r>
      <w:r w:rsidR="0019463F">
        <w:rPr>
          <w:rFonts w:ascii="Helv" w:hAnsi="Helv" w:cs="Helv"/>
          <w:sz w:val="20"/>
          <w:szCs w:val="20"/>
        </w:rPr>
        <w:t>)</w:t>
      </w:r>
      <w:r w:rsidRPr="00D51F54">
        <w:rPr>
          <w:rFonts w:ascii="Helv" w:hAnsi="Helv" w:cs="Helv"/>
          <w:sz w:val="20"/>
          <w:szCs w:val="20"/>
        </w:rPr>
        <w:t>- Healthy, diverse forests like these can better resist the impacts of a changing</w:t>
      </w:r>
      <w:r w:rsidR="0019463F">
        <w:rPr>
          <w:rFonts w:ascii="Helv" w:hAnsi="Helv" w:cs="Helv"/>
          <w:sz w:val="20"/>
          <w:szCs w:val="20"/>
        </w:rPr>
        <w:t xml:space="preserve"> </w:t>
      </w:r>
      <w:r w:rsidRPr="00D51F54">
        <w:rPr>
          <w:rFonts w:ascii="Helv" w:hAnsi="Helv" w:cs="Helv"/>
          <w:sz w:val="20"/>
          <w:szCs w:val="20"/>
        </w:rPr>
        <w:t>climate, while also mitigating rising temperatures through enhanced carbon sequestration</w:t>
      </w:r>
      <w:r w:rsidR="0019463F">
        <w:rPr>
          <w:rFonts w:ascii="Helv" w:hAnsi="Helv" w:cs="Helv"/>
          <w:sz w:val="20"/>
          <w:szCs w:val="20"/>
        </w:rPr>
        <w:t xml:space="preserve"> </w:t>
      </w:r>
      <w:r w:rsidRPr="00D51F54">
        <w:rPr>
          <w:rFonts w:ascii="Helv" w:hAnsi="Helv" w:cs="Helv"/>
          <w:sz w:val="20"/>
          <w:szCs w:val="20"/>
        </w:rPr>
        <w:t>and storage.</w:t>
      </w:r>
    </w:p>
    <w:p w14:paraId="1BA2A333" w14:textId="00A36CC8" w:rsidR="00D51F54" w:rsidRPr="00D51F54" w:rsidRDefault="00D51F54" w:rsidP="0019463F">
      <w:pPr>
        <w:autoSpaceDE w:val="0"/>
        <w:autoSpaceDN w:val="0"/>
        <w:adjustRightInd w:val="0"/>
        <w:ind w:left="720"/>
        <w:rPr>
          <w:rFonts w:ascii="Helv" w:hAnsi="Helv" w:cs="Helv"/>
          <w:sz w:val="20"/>
          <w:szCs w:val="20"/>
        </w:rPr>
      </w:pPr>
      <w:r w:rsidRPr="00D51F54">
        <w:rPr>
          <w:rFonts w:ascii="Helv" w:hAnsi="Helv" w:cs="Helv"/>
          <w:sz w:val="20"/>
          <w:szCs w:val="20"/>
        </w:rPr>
        <w:t>Goal 15</w:t>
      </w:r>
      <w:r w:rsidR="0019463F">
        <w:rPr>
          <w:rFonts w:ascii="Helv" w:hAnsi="Helv" w:cs="Helv"/>
          <w:sz w:val="20"/>
          <w:szCs w:val="20"/>
        </w:rPr>
        <w:t xml:space="preserve"> (</w:t>
      </w:r>
      <w:r w:rsidR="0019463F" w:rsidRPr="0019463F">
        <w:rPr>
          <w:rFonts w:ascii="Helv" w:hAnsi="Helv" w:cs="Helv"/>
          <w:sz w:val="20"/>
          <w:szCs w:val="20"/>
        </w:rPr>
        <w:t>Protect, restore and promote sustainable use of terrestrial ecosystems, sustainably manage forests, combat desertification, and halt and reverse land degradation and halt biodiversity loss</w:t>
      </w:r>
      <w:r w:rsidR="0019463F">
        <w:rPr>
          <w:rFonts w:ascii="Helv" w:hAnsi="Helv" w:cs="Helv"/>
          <w:sz w:val="20"/>
          <w:szCs w:val="20"/>
        </w:rPr>
        <w:t>)</w:t>
      </w:r>
      <w:r w:rsidRPr="00D51F54">
        <w:rPr>
          <w:rFonts w:ascii="Helv" w:hAnsi="Helv" w:cs="Helv"/>
          <w:sz w:val="20"/>
          <w:szCs w:val="20"/>
        </w:rPr>
        <w:t>- By integrating ecosystem and biodiversity values into forest management plans</w:t>
      </w:r>
      <w:r w:rsidRPr="00D51F54">
        <w:rPr>
          <w:rFonts w:ascii="Helv" w:hAnsi="Helv" w:cs="Helv"/>
          <w:sz w:val="20"/>
          <w:szCs w:val="20"/>
        </w:rPr>
        <w:br/>
        <w:t>and certifying the forests under the Conservancy’s FSC® certificate, the University will</w:t>
      </w:r>
      <w:r w:rsidRPr="00D51F54">
        <w:rPr>
          <w:rFonts w:ascii="Helv" w:hAnsi="Helv" w:cs="Helv"/>
          <w:sz w:val="20"/>
          <w:szCs w:val="20"/>
        </w:rPr>
        <w:br/>
        <w:t>ensure the conservation, restoration, and sustainable use of mountain forest ecological</w:t>
      </w:r>
      <w:r w:rsidRPr="00D51F54">
        <w:rPr>
          <w:rFonts w:ascii="Helv" w:hAnsi="Helv" w:cs="Helv"/>
          <w:sz w:val="20"/>
          <w:szCs w:val="20"/>
        </w:rPr>
        <w:br/>
        <w:t>systems and their services.</w:t>
      </w:r>
    </w:p>
    <w:p w14:paraId="7AD0FD8E" w14:textId="77777777" w:rsidR="00546796" w:rsidRDefault="000F6CBD" w:rsidP="00383FC4">
      <w:pPr>
        <w:pStyle w:val="Heading2"/>
      </w:pPr>
      <w:bookmarkStart w:id="43" w:name="_Toc2243514"/>
      <w:r>
        <w:t>F</w:t>
      </w:r>
      <w:r w:rsidR="00546796">
        <w:t xml:space="preserve">2. </w:t>
      </w:r>
      <w:r w:rsidR="00986DF0">
        <w:t>STAKEHOLDER COMMENTS</w:t>
      </w:r>
      <w:bookmarkEnd w:id="43"/>
    </w:p>
    <w:p w14:paraId="7A26CDAD" w14:textId="77777777" w:rsidR="00687035" w:rsidRDefault="00687035" w:rsidP="00A36FCC"/>
    <w:p w14:paraId="28DE9ED7" w14:textId="10FBC1CC" w:rsidR="00A36FCC" w:rsidRPr="00437A53" w:rsidRDefault="00A36FCC" w:rsidP="00A36FCC">
      <w:r w:rsidRPr="00437A53">
        <w:t xml:space="preserve">UT FRREC managers have good relations with adjacent landowners and consult regularly. Mangers also have good relations and communicate regularly with regional state, federal and private forest land managers. The Arboretum is active in educational pursuits with stakeholders. Managers hold educational </w:t>
      </w:r>
      <w:r w:rsidR="003017AA" w:rsidRPr="00437A53">
        <w:t xml:space="preserve">outreach </w:t>
      </w:r>
      <w:r w:rsidRPr="00437A53">
        <w:t xml:space="preserve">and field </w:t>
      </w:r>
      <w:r w:rsidR="003017AA" w:rsidRPr="00437A53">
        <w:t xml:space="preserve">day </w:t>
      </w:r>
      <w:r w:rsidRPr="00437A53">
        <w:t xml:space="preserve">events </w:t>
      </w:r>
      <w:r w:rsidR="003017AA" w:rsidRPr="00437A53">
        <w:t>on an annual basis</w:t>
      </w:r>
      <w:r w:rsidRPr="00437A53">
        <w:t xml:space="preserve">. As a part of the Forest Stewardship Council </w:t>
      </w:r>
      <w:r w:rsidR="007C0EF3" w:rsidRPr="00437A53">
        <w:t xml:space="preserve">(FSC) </w:t>
      </w:r>
      <w:r w:rsidRPr="00437A53">
        <w:t xml:space="preserve">certification, letters were sent to area tribes and state historic officers soliciting any input on sites or relative management. In addition through this unique partnership with TNC, there is significant engagement across a wide range of partners whose input will be considered when making management decisions. </w:t>
      </w:r>
    </w:p>
    <w:p w14:paraId="7F806608" w14:textId="52D1549C" w:rsidR="00A36FCC" w:rsidRPr="00A36FCC" w:rsidRDefault="00C91390" w:rsidP="00437A53">
      <w:r w:rsidRPr="00437A53">
        <w:t>Through past landowner field days and special events</w:t>
      </w:r>
      <w:r w:rsidR="00E81B2C">
        <w:t>,</w:t>
      </w:r>
      <w:r w:rsidRPr="00437A53">
        <w:t xml:space="preserve"> a historical list of stakeholders and clientele has been complied and will be u</w:t>
      </w:r>
      <w:r w:rsidR="00E81B2C">
        <w:t xml:space="preserve">pdated as needed. Stakeholders </w:t>
      </w:r>
      <w:r w:rsidRPr="00437A53">
        <w:t>will be contacted</w:t>
      </w:r>
      <w:r w:rsidR="00E81B2C">
        <w:t xml:space="preserve"> </w:t>
      </w:r>
      <w:r w:rsidRPr="00437A53">
        <w:t>through the UT AgResearch leadership chain of command shoul</w:t>
      </w:r>
      <w:r w:rsidR="00E81B2C">
        <w:t xml:space="preserve">d conflict or concerns arise. </w:t>
      </w:r>
      <w:r w:rsidR="006D402F" w:rsidRPr="00437A53">
        <w:t>FSC will monitor stakeholder and clientele engagement (i.e. field days, special events, and other documented contact information) as a compo</w:t>
      </w:r>
      <w:r w:rsidR="00437A53">
        <w:t>nent of the annual audit.</w:t>
      </w:r>
    </w:p>
    <w:p w14:paraId="3E9C3296" w14:textId="53BEE36B" w:rsidR="00FD1B8D" w:rsidRDefault="00FD1B8D" w:rsidP="00A032A8"/>
    <w:p w14:paraId="36B9AF7E" w14:textId="119D6E2B" w:rsidR="00276268" w:rsidRPr="00125497" w:rsidRDefault="00276268" w:rsidP="00276268">
      <w:pPr>
        <w:pStyle w:val="Default"/>
        <w:spacing w:after="96"/>
        <w:rPr>
          <w:rFonts w:asciiTheme="minorHAnsi" w:hAnsiTheme="minorHAnsi" w:cstheme="minorHAnsi"/>
          <w:sz w:val="22"/>
          <w:szCs w:val="22"/>
        </w:rPr>
      </w:pPr>
    </w:p>
    <w:p w14:paraId="34D5B2BB" w14:textId="6A491AB8" w:rsidR="00E63A5B" w:rsidRDefault="00E63A5B" w:rsidP="00E63A5B">
      <w:pPr>
        <w:rPr>
          <w:highlight w:val="yellow"/>
        </w:rPr>
      </w:pPr>
    </w:p>
    <w:p w14:paraId="1115F4A3" w14:textId="77777777" w:rsidR="00E63A5B" w:rsidRDefault="00E63A5B" w:rsidP="003448EC"/>
    <w:p w14:paraId="1285C450" w14:textId="77777777" w:rsidR="003A3BD2" w:rsidRDefault="003A3BD2" w:rsidP="003A3BD2"/>
    <w:p w14:paraId="3EBACB44" w14:textId="0B3A976E" w:rsidR="003A3BD2" w:rsidRPr="0045636F" w:rsidRDefault="003A3BD2" w:rsidP="003A3BD2">
      <w:pPr>
        <w:rPr>
          <w:b/>
        </w:rPr>
      </w:pPr>
      <w:r>
        <w:t xml:space="preserve">  </w:t>
      </w:r>
    </w:p>
    <w:p w14:paraId="7DCECAB8" w14:textId="331E45C7" w:rsidR="00A032A8" w:rsidRDefault="00A032A8" w:rsidP="00A032A8">
      <w:pPr>
        <w:sectPr w:rsidR="00A032A8" w:rsidSect="00A032A8">
          <w:type w:val="oddPage"/>
          <w:pgSz w:w="12240" w:h="15840"/>
          <w:pgMar w:top="1440" w:right="1440" w:bottom="1440" w:left="1440" w:header="720" w:footer="144" w:gutter="0"/>
          <w:cols w:space="720"/>
          <w:docGrid w:linePitch="360"/>
        </w:sectPr>
      </w:pPr>
    </w:p>
    <w:p w14:paraId="0143EE4F" w14:textId="77777777" w:rsidR="00580B7D" w:rsidRDefault="00580B7D" w:rsidP="00A032A8"/>
    <w:p w14:paraId="2619EABF" w14:textId="77777777" w:rsidR="00580B7D" w:rsidRDefault="00580B7D" w:rsidP="006F54FC">
      <w:pPr>
        <w:pStyle w:val="Heading1"/>
      </w:pPr>
    </w:p>
    <w:p w14:paraId="4B4F7502" w14:textId="77777777" w:rsidR="00580B7D" w:rsidRDefault="00580B7D" w:rsidP="006F54FC">
      <w:pPr>
        <w:pStyle w:val="Heading1"/>
      </w:pPr>
    </w:p>
    <w:p w14:paraId="4248A7FA" w14:textId="77777777" w:rsidR="00580B7D" w:rsidRDefault="00580B7D" w:rsidP="006F54FC">
      <w:pPr>
        <w:pStyle w:val="Heading1"/>
      </w:pPr>
    </w:p>
    <w:p w14:paraId="786106AC" w14:textId="77777777" w:rsidR="00546796" w:rsidRDefault="000F6CBD" w:rsidP="006F54FC">
      <w:pPr>
        <w:pStyle w:val="Heading1"/>
      </w:pPr>
      <w:bookmarkStart w:id="44" w:name="_Toc2243515"/>
      <w:r>
        <w:t>G</w:t>
      </w:r>
      <w:r w:rsidR="00546796">
        <w:t>.</w:t>
      </w:r>
      <w:r w:rsidR="003B7D55">
        <w:br/>
      </w:r>
      <w:r w:rsidR="006424C5">
        <w:t>OWNERSHIP AND TITLE</w:t>
      </w:r>
      <w:bookmarkEnd w:id="44"/>
    </w:p>
    <w:p w14:paraId="3D49E10E" w14:textId="77777777" w:rsidR="00546796" w:rsidRDefault="00546796">
      <w:pPr>
        <w:rPr>
          <w:b/>
          <w:sz w:val="36"/>
          <w:szCs w:val="36"/>
        </w:rPr>
      </w:pPr>
      <w:r>
        <w:rPr>
          <w:b/>
          <w:sz w:val="36"/>
          <w:szCs w:val="36"/>
        </w:rPr>
        <w:br w:type="page"/>
      </w:r>
    </w:p>
    <w:p w14:paraId="564BB791" w14:textId="77777777" w:rsidR="00EA6C7A" w:rsidRDefault="000F6CBD" w:rsidP="00383FC4">
      <w:pPr>
        <w:pStyle w:val="Heading2"/>
      </w:pPr>
      <w:bookmarkStart w:id="45" w:name="_Toc2243516"/>
      <w:r>
        <w:t>G</w:t>
      </w:r>
      <w:r w:rsidR="008338B0">
        <w:t xml:space="preserve">1. </w:t>
      </w:r>
      <w:r w:rsidR="00986DF0">
        <w:t>PROOF OF TITLE</w:t>
      </w:r>
      <w:bookmarkEnd w:id="45"/>
    </w:p>
    <w:p w14:paraId="3B265B57" w14:textId="403DC7B5" w:rsidR="00690EE2" w:rsidRPr="0018460E" w:rsidRDefault="002A710D" w:rsidP="00863B70">
      <w:r>
        <w:t>Land title</w:t>
      </w:r>
      <w:r w:rsidR="00900FD7">
        <w:t xml:space="preserve"> for the project area</w:t>
      </w:r>
      <w:r>
        <w:t xml:space="preserve"> is </w:t>
      </w:r>
      <w:r w:rsidRPr="007C4293">
        <w:t xml:space="preserve">housed at </w:t>
      </w:r>
      <w:r w:rsidR="000C79B2" w:rsidRPr="007C4293">
        <w:t>the</w:t>
      </w:r>
      <w:r w:rsidR="000C79B2">
        <w:t xml:space="preserve"> University of Tennessee </w:t>
      </w:r>
      <w:r>
        <w:t>and made available during project validation.</w:t>
      </w:r>
      <w:r w:rsidR="00D775CC">
        <w:t xml:space="preserve"> </w:t>
      </w:r>
    </w:p>
    <w:p w14:paraId="6F7487DF" w14:textId="7E018A7F" w:rsidR="00927B45" w:rsidRPr="00863B70" w:rsidRDefault="00927B45" w:rsidP="00863B70">
      <w:pPr>
        <w:rPr>
          <w:i/>
        </w:rPr>
      </w:pPr>
    </w:p>
    <w:p w14:paraId="648D5625" w14:textId="03AB15D8" w:rsidR="00927B45" w:rsidRDefault="00927B45" w:rsidP="00927B45">
      <w:pPr>
        <w:pStyle w:val="Heading2"/>
      </w:pPr>
      <w:bookmarkStart w:id="46" w:name="_Toc2243517"/>
      <w:r>
        <w:t>G2. CHAIN OF CUSTODY</w:t>
      </w:r>
      <w:bookmarkEnd w:id="46"/>
      <w:r w:rsidR="00690EE2">
        <w:t xml:space="preserve"> </w:t>
      </w:r>
    </w:p>
    <w:p w14:paraId="1DE8B66C" w14:textId="283AC44C" w:rsidR="00690EE2" w:rsidRPr="0018460E" w:rsidRDefault="00690EE2" w:rsidP="00863B70">
      <w:r>
        <w:t>Not Applicable</w:t>
      </w:r>
      <w:r w:rsidR="00FB0A94">
        <w:t xml:space="preserve"> – no offsets have been bought or sold previously, nor has the project entered into any forward option contracts.</w:t>
      </w:r>
    </w:p>
    <w:p w14:paraId="493D493B" w14:textId="77777777" w:rsidR="00FB0A94" w:rsidRDefault="00FB0A94" w:rsidP="00EB1EB3">
      <w:pPr>
        <w:pStyle w:val="Heading2"/>
      </w:pPr>
    </w:p>
    <w:p w14:paraId="2DF8446B" w14:textId="77777777" w:rsidR="00EB1EB3" w:rsidRDefault="00EB1EB3" w:rsidP="00EB1EB3">
      <w:pPr>
        <w:pStyle w:val="Heading2"/>
      </w:pPr>
      <w:bookmarkStart w:id="47" w:name="_Toc2243518"/>
      <w:r>
        <w:t>G3. PRIOR APPLICATION</w:t>
      </w:r>
      <w:bookmarkEnd w:id="47"/>
    </w:p>
    <w:p w14:paraId="05F91EF1" w14:textId="005098F7" w:rsidR="00690EE2" w:rsidRPr="0018460E" w:rsidRDefault="00690EE2" w:rsidP="00863B70">
      <w:r>
        <w:t>Not Applicable</w:t>
      </w:r>
      <w:r w:rsidR="00FB0A94">
        <w:t xml:space="preserve"> – the project proponent has not applied for GHG emission reduction credits through any other GHG emissions trading system or program.</w:t>
      </w:r>
    </w:p>
    <w:p w14:paraId="28657DFC" w14:textId="3A1ABBDA" w:rsidR="00EB1EB3" w:rsidRDefault="00EB1EB3" w:rsidP="00EB1EB3">
      <w:pPr>
        <w:rPr>
          <w:i/>
        </w:rPr>
      </w:pPr>
    </w:p>
    <w:p w14:paraId="589F0077" w14:textId="77777777" w:rsidR="00A032A8" w:rsidRDefault="00580B7D" w:rsidP="00A032A8">
      <w:pPr>
        <w:sectPr w:rsidR="00A032A8" w:rsidSect="00A032A8">
          <w:type w:val="oddPage"/>
          <w:pgSz w:w="12240" w:h="15840"/>
          <w:pgMar w:top="1440" w:right="1440" w:bottom="1440" w:left="1440" w:header="720" w:footer="144" w:gutter="0"/>
          <w:cols w:space="720"/>
          <w:docGrid w:linePitch="360"/>
        </w:sectPr>
      </w:pPr>
      <w:r>
        <w:br w:type="page"/>
      </w:r>
    </w:p>
    <w:p w14:paraId="66E1BFDA" w14:textId="77777777" w:rsidR="00580B7D" w:rsidRPr="00A032A8" w:rsidRDefault="00580B7D" w:rsidP="00A032A8">
      <w:pPr>
        <w:rPr>
          <w:rFonts w:eastAsiaTheme="majorEastAsia" w:cstheme="majorBidi"/>
          <w:b/>
          <w:bCs/>
          <w:sz w:val="52"/>
          <w:szCs w:val="52"/>
        </w:rPr>
      </w:pPr>
    </w:p>
    <w:p w14:paraId="7D89FA3D" w14:textId="77777777" w:rsidR="00580B7D" w:rsidRDefault="00580B7D" w:rsidP="006424C5">
      <w:pPr>
        <w:pStyle w:val="Heading1"/>
      </w:pPr>
    </w:p>
    <w:p w14:paraId="3151F384" w14:textId="77777777" w:rsidR="00580B7D" w:rsidRDefault="00580B7D" w:rsidP="006424C5">
      <w:pPr>
        <w:pStyle w:val="Heading1"/>
      </w:pPr>
    </w:p>
    <w:p w14:paraId="2FF7E473" w14:textId="77777777" w:rsidR="00580B7D" w:rsidRDefault="00580B7D" w:rsidP="00580B7D">
      <w:pPr>
        <w:pStyle w:val="Heading1"/>
      </w:pPr>
    </w:p>
    <w:p w14:paraId="5403CCEB" w14:textId="77777777" w:rsidR="006424C5" w:rsidRDefault="006424C5" w:rsidP="006424C5">
      <w:pPr>
        <w:pStyle w:val="Heading1"/>
      </w:pPr>
      <w:bookmarkStart w:id="48" w:name="_Toc2243519"/>
      <w:r>
        <w:t>H.</w:t>
      </w:r>
      <w:r w:rsidR="003B7D55">
        <w:br/>
      </w:r>
      <w:r>
        <w:t>PROJECT TIMELINE</w:t>
      </w:r>
      <w:bookmarkEnd w:id="48"/>
    </w:p>
    <w:p w14:paraId="30D9359A" w14:textId="77777777" w:rsidR="006424C5" w:rsidRDefault="006424C5" w:rsidP="006424C5">
      <w:pPr>
        <w:rPr>
          <w:b/>
          <w:sz w:val="36"/>
          <w:szCs w:val="36"/>
        </w:rPr>
      </w:pPr>
      <w:r>
        <w:rPr>
          <w:b/>
          <w:sz w:val="36"/>
          <w:szCs w:val="36"/>
        </w:rPr>
        <w:br w:type="page"/>
      </w:r>
    </w:p>
    <w:p w14:paraId="17EA33CF" w14:textId="77777777" w:rsidR="006424C5" w:rsidRPr="009F5EAE" w:rsidRDefault="00927B45" w:rsidP="006424C5">
      <w:pPr>
        <w:pStyle w:val="Heading2"/>
      </w:pPr>
      <w:bookmarkStart w:id="49" w:name="_Toc2243520"/>
      <w:r>
        <w:t>H</w:t>
      </w:r>
      <w:r w:rsidR="006424C5">
        <w:t xml:space="preserve">1. </w:t>
      </w:r>
      <w:r>
        <w:t>START DATE</w:t>
      </w:r>
      <w:bookmarkEnd w:id="49"/>
    </w:p>
    <w:p w14:paraId="0ED23E08" w14:textId="77777777" w:rsidR="00D1373B" w:rsidRDefault="00D1373B" w:rsidP="00EB1EB3"/>
    <w:p w14:paraId="32A2645E" w14:textId="5C0D2B0F" w:rsidR="003566F3" w:rsidRPr="00590B55" w:rsidRDefault="003566F3" w:rsidP="00EB1EB3">
      <w:r w:rsidRPr="00D12895">
        <w:t xml:space="preserve">The project start date is </w:t>
      </w:r>
      <w:r w:rsidR="00F37ECE">
        <w:t>November 26 2019</w:t>
      </w:r>
      <w:r w:rsidR="00F37ECE" w:rsidRPr="00D36518">
        <w:t xml:space="preserve">, </w:t>
      </w:r>
      <w:r w:rsidR="00F37ECE">
        <w:t xml:space="preserve">marked by the date that UT and TNC signed an agreement to develop forested properties owned and managed by UT as a climate mitigation project under the American Carbon Registry. </w:t>
      </w:r>
      <w:r w:rsidR="00D1373B">
        <w:t>Conformance with ACR Forest Carbon Project Standard Requirements is demonstrated in Section A3 above.</w:t>
      </w:r>
    </w:p>
    <w:p w14:paraId="72845B54" w14:textId="77777777" w:rsidR="00547078" w:rsidRDefault="00547078" w:rsidP="00EB1EB3"/>
    <w:p w14:paraId="1AF12B1D" w14:textId="77777777" w:rsidR="00EB1EB3" w:rsidRPr="009F5EAE" w:rsidRDefault="00EB1EB3" w:rsidP="00EB1EB3">
      <w:pPr>
        <w:pStyle w:val="Heading2"/>
      </w:pPr>
      <w:bookmarkStart w:id="50" w:name="_Toc2243521"/>
      <w:r>
        <w:t>H2. PROJECT TIMELINE</w:t>
      </w:r>
      <w:bookmarkEnd w:id="50"/>
    </w:p>
    <w:p w14:paraId="43E663D1" w14:textId="43D0526D" w:rsidR="00EB1EB3" w:rsidRDefault="00771B75" w:rsidP="00EB1EB3">
      <w:r>
        <w:t xml:space="preserve">Project timeline is elaborated </w:t>
      </w:r>
      <w:r w:rsidR="00534A4F">
        <w:t xml:space="preserve">in Table H1 </w:t>
      </w:r>
      <w:r>
        <w:t>below.</w:t>
      </w:r>
    </w:p>
    <w:p w14:paraId="78903438" w14:textId="18819B90" w:rsidR="00771B75" w:rsidRPr="00936C9C" w:rsidRDefault="00771B75" w:rsidP="00771B75">
      <w:pPr>
        <w:pStyle w:val="text"/>
        <w:spacing w:before="100" w:after="0"/>
        <w:rPr>
          <w:rFonts w:ascii="Arial" w:hAnsi="Arial" w:cs="Arial"/>
          <w:b/>
          <w:sz w:val="20"/>
        </w:rPr>
      </w:pPr>
      <w:r w:rsidRPr="00936C9C">
        <w:rPr>
          <w:rFonts w:ascii="Arial" w:hAnsi="Arial" w:cs="Arial"/>
          <w:b/>
          <w:sz w:val="20"/>
        </w:rPr>
        <w:t xml:space="preserve">Table </w:t>
      </w:r>
      <w:r w:rsidR="00FB0A94">
        <w:rPr>
          <w:rFonts w:ascii="Arial" w:hAnsi="Arial" w:cs="Arial"/>
          <w:b/>
          <w:sz w:val="20"/>
        </w:rPr>
        <w:t>H1</w:t>
      </w:r>
      <w:r w:rsidRPr="00936C9C">
        <w:rPr>
          <w:rFonts w:ascii="Arial" w:hAnsi="Arial" w:cs="Arial"/>
          <w:b/>
          <w:sz w:val="20"/>
        </w:rPr>
        <w:t>. Schedule of project activities</w:t>
      </w:r>
    </w:p>
    <w:tbl>
      <w:tblPr>
        <w:tblW w:w="9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3220"/>
        <w:gridCol w:w="3220"/>
      </w:tblGrid>
      <w:tr w:rsidR="00771B75" w:rsidRPr="00EB00D8" w14:paraId="1D27FB95" w14:textId="77777777" w:rsidTr="00B14E33">
        <w:trPr>
          <w:trHeight w:val="270"/>
        </w:trPr>
        <w:tc>
          <w:tcPr>
            <w:tcW w:w="3220" w:type="dxa"/>
          </w:tcPr>
          <w:p w14:paraId="4F304CBE" w14:textId="77777777" w:rsidR="00771B75" w:rsidRPr="00EB00D8" w:rsidRDefault="00771B75" w:rsidP="00A061EA">
            <w:pPr>
              <w:rPr>
                <w:rFonts w:cstheme="minorHAnsi"/>
                <w:b/>
                <w:bCs/>
              </w:rPr>
            </w:pPr>
            <w:r w:rsidRPr="00EB00D8">
              <w:rPr>
                <w:rFonts w:cstheme="minorHAnsi"/>
                <w:b/>
                <w:bCs/>
              </w:rPr>
              <w:t>Project activity</w:t>
            </w:r>
          </w:p>
        </w:tc>
        <w:tc>
          <w:tcPr>
            <w:tcW w:w="3220" w:type="dxa"/>
          </w:tcPr>
          <w:p w14:paraId="0AFCED5E" w14:textId="77777777" w:rsidR="00771B75" w:rsidRPr="00EB00D8" w:rsidRDefault="00771B75" w:rsidP="00A061EA">
            <w:pPr>
              <w:rPr>
                <w:rFonts w:cstheme="minorHAnsi"/>
                <w:b/>
                <w:bCs/>
              </w:rPr>
            </w:pPr>
            <w:r w:rsidRPr="00EB00D8">
              <w:rPr>
                <w:rFonts w:cstheme="minorHAnsi"/>
                <w:b/>
                <w:bCs/>
              </w:rPr>
              <w:t>Date</w:t>
            </w:r>
          </w:p>
        </w:tc>
        <w:tc>
          <w:tcPr>
            <w:tcW w:w="3220" w:type="dxa"/>
          </w:tcPr>
          <w:p w14:paraId="242AE88C" w14:textId="77777777" w:rsidR="00771B75" w:rsidRPr="00EB00D8" w:rsidRDefault="00771B75" w:rsidP="00A061EA">
            <w:pPr>
              <w:rPr>
                <w:rFonts w:cstheme="minorHAnsi"/>
                <w:b/>
                <w:bCs/>
              </w:rPr>
            </w:pPr>
            <w:r w:rsidRPr="00EB00D8">
              <w:rPr>
                <w:rFonts w:cstheme="minorHAnsi"/>
                <w:b/>
                <w:bCs/>
              </w:rPr>
              <w:t>Source/Notes</w:t>
            </w:r>
          </w:p>
        </w:tc>
      </w:tr>
      <w:tr w:rsidR="00771B75" w:rsidRPr="00EB00D8" w14:paraId="57CBE8BD" w14:textId="77777777" w:rsidTr="00B14E33">
        <w:trPr>
          <w:trHeight w:val="457"/>
        </w:trPr>
        <w:tc>
          <w:tcPr>
            <w:tcW w:w="3220" w:type="dxa"/>
          </w:tcPr>
          <w:p w14:paraId="21EB49DD" w14:textId="77777777" w:rsidR="00771B75" w:rsidRPr="00EB00D8" w:rsidRDefault="00771B75" w:rsidP="00A061EA">
            <w:pPr>
              <w:rPr>
                <w:rFonts w:cstheme="minorHAnsi"/>
              </w:rPr>
            </w:pPr>
            <w:r w:rsidRPr="00EB00D8">
              <w:rPr>
                <w:rFonts w:cstheme="minorHAnsi"/>
              </w:rPr>
              <w:t>Project start date and start of the crediting period</w:t>
            </w:r>
          </w:p>
        </w:tc>
        <w:tc>
          <w:tcPr>
            <w:tcW w:w="3220" w:type="dxa"/>
          </w:tcPr>
          <w:p w14:paraId="5A7D68BE" w14:textId="1FAAD009" w:rsidR="00771B75" w:rsidRPr="00EB00D8" w:rsidRDefault="00703E5F" w:rsidP="00A061EA">
            <w:pPr>
              <w:rPr>
                <w:rFonts w:cstheme="minorHAnsi"/>
              </w:rPr>
            </w:pPr>
            <w:r>
              <w:rPr>
                <w:rFonts w:cstheme="minorHAnsi"/>
              </w:rPr>
              <w:t>November 26 2019</w:t>
            </w:r>
          </w:p>
        </w:tc>
        <w:tc>
          <w:tcPr>
            <w:tcW w:w="3220" w:type="dxa"/>
          </w:tcPr>
          <w:p w14:paraId="1828297A" w14:textId="488E1919" w:rsidR="00771B75" w:rsidRPr="00EB00D8" w:rsidRDefault="00771B75" w:rsidP="00771B75">
            <w:pPr>
              <w:rPr>
                <w:rFonts w:cstheme="minorHAnsi"/>
              </w:rPr>
            </w:pPr>
            <w:r w:rsidRPr="00EB00D8">
              <w:rPr>
                <w:rFonts w:cstheme="minorHAnsi"/>
              </w:rPr>
              <w:t xml:space="preserve">Date of </w:t>
            </w:r>
            <w:r w:rsidR="00703E5F">
              <w:rPr>
                <w:rFonts w:cstheme="minorHAnsi"/>
              </w:rPr>
              <w:t>agreement between UT and TNC</w:t>
            </w:r>
          </w:p>
        </w:tc>
      </w:tr>
      <w:tr w:rsidR="00771B75" w:rsidRPr="00EB00D8" w14:paraId="3352165C" w14:textId="77777777" w:rsidTr="00B14E33">
        <w:trPr>
          <w:trHeight w:val="241"/>
        </w:trPr>
        <w:tc>
          <w:tcPr>
            <w:tcW w:w="3220" w:type="dxa"/>
          </w:tcPr>
          <w:p w14:paraId="44AC7613" w14:textId="70C673B7" w:rsidR="00771B75" w:rsidRPr="00EB00D8" w:rsidRDefault="00771B75" w:rsidP="00A061EA">
            <w:pPr>
              <w:rPr>
                <w:rFonts w:cstheme="minorHAnsi"/>
              </w:rPr>
            </w:pPr>
            <w:r w:rsidRPr="00EB00D8">
              <w:rPr>
                <w:rFonts w:cstheme="minorHAnsi"/>
              </w:rPr>
              <w:t xml:space="preserve">Forest </w:t>
            </w:r>
            <w:r w:rsidR="00703E5F">
              <w:rPr>
                <w:rFonts w:cstheme="minorHAnsi"/>
              </w:rPr>
              <w:t xml:space="preserve">carbon </w:t>
            </w:r>
            <w:r w:rsidRPr="00EB00D8">
              <w:rPr>
                <w:rFonts w:cstheme="minorHAnsi"/>
              </w:rPr>
              <w:t>inventory</w:t>
            </w:r>
          </w:p>
        </w:tc>
        <w:tc>
          <w:tcPr>
            <w:tcW w:w="3220" w:type="dxa"/>
          </w:tcPr>
          <w:p w14:paraId="273A8175" w14:textId="1A69F49C" w:rsidR="00771B75" w:rsidRPr="00EB00D8" w:rsidRDefault="00703E5F" w:rsidP="00A061EA">
            <w:pPr>
              <w:rPr>
                <w:rFonts w:cstheme="minorHAnsi"/>
              </w:rPr>
            </w:pPr>
            <w:r>
              <w:rPr>
                <w:rFonts w:cstheme="minorHAnsi"/>
              </w:rPr>
              <w:t>March-April 2020</w:t>
            </w:r>
          </w:p>
        </w:tc>
        <w:tc>
          <w:tcPr>
            <w:tcW w:w="3220" w:type="dxa"/>
            <w:shd w:val="clear" w:color="auto" w:fill="auto"/>
          </w:tcPr>
          <w:p w14:paraId="0A853515" w14:textId="117F744D" w:rsidR="00771B75" w:rsidRPr="00B14E33" w:rsidRDefault="00771B75" w:rsidP="00A061EA">
            <w:pPr>
              <w:rPr>
                <w:rFonts w:cstheme="minorHAnsi"/>
              </w:rPr>
            </w:pPr>
          </w:p>
        </w:tc>
      </w:tr>
      <w:tr w:rsidR="00EB00D8" w:rsidRPr="00EB00D8" w14:paraId="69C40B8A" w14:textId="77777777" w:rsidTr="00B14E33">
        <w:trPr>
          <w:trHeight w:val="241"/>
        </w:trPr>
        <w:tc>
          <w:tcPr>
            <w:tcW w:w="3220" w:type="dxa"/>
          </w:tcPr>
          <w:p w14:paraId="53B58851" w14:textId="2E6C7326" w:rsidR="00EB00D8" w:rsidRPr="00EB00D8" w:rsidRDefault="00EB00D8" w:rsidP="00A061EA">
            <w:pPr>
              <w:rPr>
                <w:rFonts w:cstheme="minorHAnsi"/>
              </w:rPr>
            </w:pPr>
            <w:r>
              <w:rPr>
                <w:rFonts w:cstheme="minorHAnsi"/>
              </w:rPr>
              <w:t>Validation and registration of the project</w:t>
            </w:r>
          </w:p>
        </w:tc>
        <w:tc>
          <w:tcPr>
            <w:tcW w:w="3220" w:type="dxa"/>
          </w:tcPr>
          <w:p w14:paraId="763B6AA8" w14:textId="470D665D" w:rsidR="00EB00D8" w:rsidRPr="00EB00D8" w:rsidRDefault="00757728" w:rsidP="00A061EA">
            <w:pPr>
              <w:rPr>
                <w:rFonts w:cstheme="minorHAnsi"/>
              </w:rPr>
            </w:pPr>
            <w:r>
              <w:rPr>
                <w:rFonts w:cstheme="minorHAnsi"/>
              </w:rPr>
              <w:t>June 2022</w:t>
            </w:r>
          </w:p>
        </w:tc>
        <w:tc>
          <w:tcPr>
            <w:tcW w:w="3220" w:type="dxa"/>
          </w:tcPr>
          <w:p w14:paraId="6077AA10" w14:textId="77777777" w:rsidR="00EB00D8" w:rsidRPr="00EB00D8" w:rsidRDefault="00EB00D8" w:rsidP="00A061EA">
            <w:pPr>
              <w:rPr>
                <w:rFonts w:cstheme="minorHAnsi"/>
              </w:rPr>
            </w:pPr>
          </w:p>
        </w:tc>
      </w:tr>
      <w:tr w:rsidR="00771B75" w:rsidRPr="00EB00D8" w14:paraId="1C554B2A" w14:textId="77777777" w:rsidTr="00B14E33">
        <w:trPr>
          <w:trHeight w:val="270"/>
        </w:trPr>
        <w:tc>
          <w:tcPr>
            <w:tcW w:w="3220" w:type="dxa"/>
          </w:tcPr>
          <w:p w14:paraId="6F3095F2" w14:textId="2FAA8A1B" w:rsidR="00771B75" w:rsidRPr="00EB00D8" w:rsidRDefault="00EB00D8" w:rsidP="00A061EA">
            <w:pPr>
              <w:rPr>
                <w:rFonts w:cstheme="minorHAnsi"/>
              </w:rPr>
            </w:pPr>
            <w:r>
              <w:rPr>
                <w:rFonts w:cstheme="minorHAnsi"/>
              </w:rPr>
              <w:t>First monitoring</w:t>
            </w:r>
          </w:p>
        </w:tc>
        <w:tc>
          <w:tcPr>
            <w:tcW w:w="3220" w:type="dxa"/>
          </w:tcPr>
          <w:p w14:paraId="35F54C8A" w14:textId="423D5D38" w:rsidR="00771B75" w:rsidRPr="00EB00D8" w:rsidRDefault="00703E5F" w:rsidP="00771B75">
            <w:pPr>
              <w:rPr>
                <w:rFonts w:cstheme="minorHAnsi"/>
              </w:rPr>
            </w:pPr>
            <w:r>
              <w:rPr>
                <w:rFonts w:cstheme="minorHAnsi"/>
              </w:rPr>
              <w:t xml:space="preserve">November </w:t>
            </w:r>
            <w:r w:rsidR="0070516B">
              <w:rPr>
                <w:rFonts w:cstheme="minorHAnsi"/>
              </w:rPr>
              <w:t xml:space="preserve">26 </w:t>
            </w:r>
            <w:r>
              <w:rPr>
                <w:rFonts w:cstheme="minorHAnsi"/>
              </w:rPr>
              <w:t>2019</w:t>
            </w:r>
            <w:r w:rsidR="00EB00D8">
              <w:rPr>
                <w:rFonts w:cstheme="minorHAnsi"/>
              </w:rPr>
              <w:t>-</w:t>
            </w:r>
            <w:r w:rsidR="0070516B">
              <w:rPr>
                <w:rFonts w:cstheme="minorHAnsi"/>
              </w:rPr>
              <w:t xml:space="preserve">August 21 </w:t>
            </w:r>
            <w:r>
              <w:rPr>
                <w:rFonts w:cstheme="minorHAnsi"/>
              </w:rPr>
              <w:t>2020</w:t>
            </w:r>
          </w:p>
        </w:tc>
        <w:tc>
          <w:tcPr>
            <w:tcW w:w="3220" w:type="dxa"/>
          </w:tcPr>
          <w:p w14:paraId="1E862C11" w14:textId="77777777" w:rsidR="00771B75" w:rsidRPr="00EB00D8" w:rsidRDefault="00771B75" w:rsidP="00A061EA">
            <w:pPr>
              <w:rPr>
                <w:rFonts w:cstheme="minorHAnsi"/>
              </w:rPr>
            </w:pPr>
            <w:r w:rsidRPr="00EB00D8">
              <w:rPr>
                <w:rFonts w:cstheme="minorHAnsi"/>
              </w:rPr>
              <w:t> </w:t>
            </w:r>
          </w:p>
        </w:tc>
      </w:tr>
      <w:tr w:rsidR="00EB00D8" w:rsidRPr="00EB00D8" w14:paraId="45D7C8BE" w14:textId="77777777" w:rsidTr="00B14E33">
        <w:trPr>
          <w:trHeight w:val="270"/>
        </w:trPr>
        <w:tc>
          <w:tcPr>
            <w:tcW w:w="3220" w:type="dxa"/>
          </w:tcPr>
          <w:p w14:paraId="62866861" w14:textId="6F3E1B49" w:rsidR="00EB00D8" w:rsidRPr="00EB00D8" w:rsidRDefault="00EB00D8" w:rsidP="00EB00D8">
            <w:pPr>
              <w:rPr>
                <w:rFonts w:cstheme="minorHAnsi"/>
              </w:rPr>
            </w:pPr>
            <w:r>
              <w:rPr>
                <w:rFonts w:cstheme="minorHAnsi"/>
              </w:rPr>
              <w:t>First verification</w:t>
            </w:r>
          </w:p>
        </w:tc>
        <w:tc>
          <w:tcPr>
            <w:tcW w:w="3220" w:type="dxa"/>
          </w:tcPr>
          <w:p w14:paraId="595F4035" w14:textId="681CD620" w:rsidR="00EB00D8" w:rsidRPr="00EB00D8" w:rsidRDefault="00757728" w:rsidP="00EB00D8">
            <w:pPr>
              <w:rPr>
                <w:rFonts w:cstheme="minorHAnsi"/>
              </w:rPr>
            </w:pPr>
            <w:r>
              <w:rPr>
                <w:rFonts w:cstheme="minorHAnsi"/>
              </w:rPr>
              <w:t>June 2022</w:t>
            </w:r>
          </w:p>
        </w:tc>
        <w:tc>
          <w:tcPr>
            <w:tcW w:w="3220" w:type="dxa"/>
          </w:tcPr>
          <w:p w14:paraId="362F0B78" w14:textId="77777777" w:rsidR="00EB00D8" w:rsidRPr="00EB00D8" w:rsidRDefault="00EB00D8" w:rsidP="00EB00D8">
            <w:pPr>
              <w:rPr>
                <w:rFonts w:cstheme="minorHAnsi"/>
              </w:rPr>
            </w:pPr>
          </w:p>
        </w:tc>
      </w:tr>
      <w:tr w:rsidR="00771B75" w:rsidRPr="00EB00D8" w14:paraId="59C7D7F8" w14:textId="77777777" w:rsidTr="00B14E33">
        <w:trPr>
          <w:trHeight w:val="196"/>
        </w:trPr>
        <w:tc>
          <w:tcPr>
            <w:tcW w:w="3220" w:type="dxa"/>
          </w:tcPr>
          <w:p w14:paraId="2D47CC1E" w14:textId="77777777" w:rsidR="00771B75" w:rsidRPr="00EB00D8" w:rsidRDefault="00771B75" w:rsidP="00A061EA">
            <w:pPr>
              <w:rPr>
                <w:rFonts w:cstheme="minorHAnsi"/>
              </w:rPr>
            </w:pPr>
            <w:r w:rsidRPr="00EB00D8">
              <w:rPr>
                <w:rFonts w:cstheme="minorHAnsi"/>
              </w:rPr>
              <w:t>Periodic monitoring and verification</w:t>
            </w:r>
          </w:p>
        </w:tc>
        <w:tc>
          <w:tcPr>
            <w:tcW w:w="3220" w:type="dxa"/>
          </w:tcPr>
          <w:p w14:paraId="366E556B" w14:textId="634132C6" w:rsidR="00771B75" w:rsidRPr="00EB00D8" w:rsidRDefault="00751D38" w:rsidP="00771B75">
            <w:pPr>
              <w:rPr>
                <w:rFonts w:cstheme="minorHAnsi"/>
              </w:rPr>
            </w:pPr>
            <w:r>
              <w:rPr>
                <w:rFonts w:cstheme="minorHAnsi"/>
              </w:rPr>
              <w:t>2020-2059</w:t>
            </w:r>
          </w:p>
        </w:tc>
        <w:tc>
          <w:tcPr>
            <w:tcW w:w="3220" w:type="dxa"/>
          </w:tcPr>
          <w:p w14:paraId="41CFBE64" w14:textId="77777777" w:rsidR="00771B75" w:rsidRPr="00EB00D8" w:rsidRDefault="00771B75" w:rsidP="00A061EA">
            <w:pPr>
              <w:rPr>
                <w:rFonts w:cstheme="minorHAnsi"/>
              </w:rPr>
            </w:pPr>
            <w:r w:rsidRPr="00EB00D8">
              <w:rPr>
                <w:rFonts w:cstheme="minorHAnsi"/>
              </w:rPr>
              <w:t>Every 5 years or less, or at request for ERT issuance</w:t>
            </w:r>
          </w:p>
        </w:tc>
      </w:tr>
      <w:tr w:rsidR="00771B75" w:rsidRPr="00EB00D8" w14:paraId="05C53E25" w14:textId="77777777" w:rsidTr="00B14E33">
        <w:trPr>
          <w:trHeight w:val="196"/>
        </w:trPr>
        <w:tc>
          <w:tcPr>
            <w:tcW w:w="3220" w:type="dxa"/>
          </w:tcPr>
          <w:p w14:paraId="62B53689" w14:textId="75C0F734" w:rsidR="00771B75" w:rsidRPr="00EB00D8" w:rsidRDefault="00771B75" w:rsidP="00A061EA">
            <w:pPr>
              <w:rPr>
                <w:rFonts w:cstheme="minorHAnsi"/>
              </w:rPr>
            </w:pPr>
            <w:r w:rsidRPr="00EB00D8">
              <w:rPr>
                <w:rFonts w:cstheme="minorHAnsi"/>
              </w:rPr>
              <w:t xml:space="preserve">End date of </w:t>
            </w:r>
            <w:r w:rsidR="009B0BC6">
              <w:rPr>
                <w:rFonts w:cstheme="minorHAnsi"/>
              </w:rPr>
              <w:t xml:space="preserve">first </w:t>
            </w:r>
            <w:r w:rsidRPr="00EB00D8">
              <w:rPr>
                <w:rFonts w:cstheme="minorHAnsi"/>
              </w:rPr>
              <w:t>project crediting period</w:t>
            </w:r>
          </w:p>
        </w:tc>
        <w:tc>
          <w:tcPr>
            <w:tcW w:w="3220" w:type="dxa"/>
          </w:tcPr>
          <w:p w14:paraId="5CF9FFC2" w14:textId="01D19290" w:rsidR="00771B75" w:rsidRPr="00EB00D8" w:rsidRDefault="00751D38" w:rsidP="00771B75">
            <w:pPr>
              <w:rPr>
                <w:rFonts w:cstheme="minorHAnsi"/>
              </w:rPr>
            </w:pPr>
            <w:r>
              <w:rPr>
                <w:rFonts w:cstheme="minorHAnsi"/>
              </w:rPr>
              <w:t>November 25 2039</w:t>
            </w:r>
          </w:p>
        </w:tc>
        <w:tc>
          <w:tcPr>
            <w:tcW w:w="3220" w:type="dxa"/>
          </w:tcPr>
          <w:p w14:paraId="7DD59515" w14:textId="77777777" w:rsidR="00771B75" w:rsidRPr="00EB00D8" w:rsidRDefault="00771B75" w:rsidP="00A061EA">
            <w:pPr>
              <w:rPr>
                <w:rFonts w:cstheme="minorHAnsi"/>
              </w:rPr>
            </w:pPr>
            <w:r w:rsidRPr="00EB00D8">
              <w:rPr>
                <w:rFonts w:cstheme="minorHAnsi"/>
              </w:rPr>
              <w:t> </w:t>
            </w:r>
          </w:p>
        </w:tc>
      </w:tr>
      <w:tr w:rsidR="00604E9B" w:rsidRPr="00EB00D8" w14:paraId="75734EBB" w14:textId="77777777" w:rsidTr="00B14E33">
        <w:trPr>
          <w:trHeight w:val="196"/>
        </w:trPr>
        <w:tc>
          <w:tcPr>
            <w:tcW w:w="3220" w:type="dxa"/>
          </w:tcPr>
          <w:p w14:paraId="7AEDBA20" w14:textId="77777777" w:rsidR="00604E9B" w:rsidRPr="00EB00D8" w:rsidRDefault="00604E9B" w:rsidP="00A061EA">
            <w:pPr>
              <w:rPr>
                <w:rFonts w:cstheme="minorHAnsi"/>
              </w:rPr>
            </w:pPr>
            <w:r w:rsidRPr="00EB00D8">
              <w:rPr>
                <w:rFonts w:cstheme="minorHAnsi"/>
              </w:rPr>
              <w:t>Second crediting period</w:t>
            </w:r>
          </w:p>
        </w:tc>
        <w:tc>
          <w:tcPr>
            <w:tcW w:w="3220" w:type="dxa"/>
          </w:tcPr>
          <w:p w14:paraId="0D0A4FAB" w14:textId="25511D87" w:rsidR="00604E9B" w:rsidRPr="00EB00D8" w:rsidRDefault="00751D38" w:rsidP="00771B75">
            <w:pPr>
              <w:rPr>
                <w:rFonts w:cstheme="minorHAnsi"/>
              </w:rPr>
            </w:pPr>
            <w:r>
              <w:rPr>
                <w:rFonts w:cstheme="minorHAnsi"/>
              </w:rPr>
              <w:t>November 26 2039</w:t>
            </w:r>
            <w:r w:rsidR="00604E9B" w:rsidRPr="00EB00D8">
              <w:rPr>
                <w:rFonts w:cstheme="minorHAnsi"/>
              </w:rPr>
              <w:t xml:space="preserve"> – </w:t>
            </w:r>
            <w:r>
              <w:rPr>
                <w:rFonts w:cstheme="minorHAnsi"/>
              </w:rPr>
              <w:t>November 25 2059</w:t>
            </w:r>
          </w:p>
        </w:tc>
        <w:tc>
          <w:tcPr>
            <w:tcW w:w="3220" w:type="dxa"/>
          </w:tcPr>
          <w:p w14:paraId="5F9F1847" w14:textId="4B08E9DD" w:rsidR="00604E9B" w:rsidRPr="00EB00D8" w:rsidRDefault="00604E9B" w:rsidP="00A061EA">
            <w:pPr>
              <w:rPr>
                <w:rFonts w:cstheme="minorHAnsi"/>
              </w:rPr>
            </w:pPr>
            <w:r w:rsidRPr="00EB00D8">
              <w:rPr>
                <w:rFonts w:cstheme="minorHAnsi"/>
              </w:rPr>
              <w:t>Baseline re</w:t>
            </w:r>
            <w:r w:rsidR="00DB0862">
              <w:rPr>
                <w:rFonts w:cstheme="minorHAnsi"/>
              </w:rPr>
              <w:t xml:space="preserve">-evaluated in </w:t>
            </w:r>
            <w:r w:rsidR="008747B5">
              <w:rPr>
                <w:rFonts w:cstheme="minorHAnsi"/>
              </w:rPr>
              <w:t>November</w:t>
            </w:r>
            <w:r w:rsidR="00A73906">
              <w:rPr>
                <w:rFonts w:cstheme="minorHAnsi"/>
              </w:rPr>
              <w:t xml:space="preserve"> </w:t>
            </w:r>
            <w:r w:rsidR="008747B5">
              <w:rPr>
                <w:rFonts w:cstheme="minorHAnsi"/>
              </w:rPr>
              <w:t>2039</w:t>
            </w:r>
          </w:p>
        </w:tc>
      </w:tr>
      <w:tr w:rsidR="00A061EA" w:rsidRPr="00EB00D8" w14:paraId="2DF78476" w14:textId="77777777" w:rsidTr="00B14E33">
        <w:trPr>
          <w:trHeight w:val="196"/>
        </w:trPr>
        <w:tc>
          <w:tcPr>
            <w:tcW w:w="3220" w:type="dxa"/>
          </w:tcPr>
          <w:p w14:paraId="63A04E33" w14:textId="77777777" w:rsidR="00A061EA" w:rsidRPr="00EB00D8" w:rsidRDefault="00A061EA" w:rsidP="00A061EA">
            <w:pPr>
              <w:rPr>
                <w:rFonts w:cstheme="minorHAnsi"/>
              </w:rPr>
            </w:pPr>
            <w:r w:rsidRPr="00EB00D8">
              <w:rPr>
                <w:rFonts w:cstheme="minorHAnsi"/>
              </w:rPr>
              <w:t>End date of project term</w:t>
            </w:r>
          </w:p>
        </w:tc>
        <w:tc>
          <w:tcPr>
            <w:tcW w:w="3220" w:type="dxa"/>
          </w:tcPr>
          <w:p w14:paraId="17E4D485" w14:textId="6F868052" w:rsidR="00A061EA" w:rsidRPr="00EB00D8" w:rsidRDefault="008747B5" w:rsidP="00771B75">
            <w:pPr>
              <w:rPr>
                <w:rFonts w:cstheme="minorHAnsi"/>
              </w:rPr>
            </w:pPr>
            <w:r>
              <w:rPr>
                <w:rFonts w:cstheme="minorHAnsi"/>
              </w:rPr>
              <w:t>November 25 2059</w:t>
            </w:r>
          </w:p>
        </w:tc>
        <w:tc>
          <w:tcPr>
            <w:tcW w:w="3220" w:type="dxa"/>
          </w:tcPr>
          <w:p w14:paraId="40B9AB90" w14:textId="77777777" w:rsidR="00A061EA" w:rsidRPr="00EB00D8" w:rsidRDefault="00A061EA" w:rsidP="00A061EA">
            <w:pPr>
              <w:rPr>
                <w:rFonts w:cstheme="minorHAnsi"/>
              </w:rPr>
            </w:pPr>
          </w:p>
        </w:tc>
      </w:tr>
    </w:tbl>
    <w:p w14:paraId="0BA171D8" w14:textId="77777777" w:rsidR="00771B75" w:rsidRPr="00936C9C" w:rsidRDefault="00771B75" w:rsidP="00941E38">
      <w:pPr>
        <w:pStyle w:val="text"/>
        <w:spacing w:after="0" w:line="240" w:lineRule="auto"/>
        <w:outlineLvl w:val="0"/>
        <w:rPr>
          <w:rFonts w:ascii="Arial" w:hAnsi="Arial" w:cs="Arial"/>
          <w:sz w:val="20"/>
        </w:rPr>
      </w:pPr>
    </w:p>
    <w:sectPr w:rsidR="00771B75" w:rsidRPr="00936C9C" w:rsidSect="00A032A8">
      <w:type w:val="oddPage"/>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5321A" w14:textId="77777777" w:rsidR="00EF1A57" w:rsidRDefault="00EF1A57" w:rsidP="00B90FD2">
      <w:pPr>
        <w:spacing w:after="0" w:line="240" w:lineRule="auto"/>
      </w:pPr>
      <w:r>
        <w:separator/>
      </w:r>
    </w:p>
  </w:endnote>
  <w:endnote w:type="continuationSeparator" w:id="0">
    <w:p w14:paraId="4AEAEADE" w14:textId="77777777" w:rsidR="00EF1A57" w:rsidRDefault="00EF1A57" w:rsidP="00B90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Palatino">
    <w:altName w:val="Book Antiqua"/>
    <w:charset w:val="00"/>
    <w:family w:val="auto"/>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Italic">
    <w:altName w:val="Times New Roman"/>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E1954" w14:textId="77777777" w:rsidR="002B7954" w:rsidRDefault="002B79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E344F" w14:textId="77777777" w:rsidR="002B7954" w:rsidRDefault="002B7954" w:rsidP="00AA7500">
    <w:pPr>
      <w:pStyle w:val="Footer"/>
      <w:jc w:val="right"/>
    </w:pPr>
  </w:p>
  <w:p w14:paraId="7DD9A2EC" w14:textId="77777777" w:rsidR="002B7954" w:rsidRDefault="002B79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7C4D8" w14:textId="77777777" w:rsidR="002B7954" w:rsidRDefault="002B79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B3D5F" w14:textId="77777777" w:rsidR="002B7954" w:rsidRDefault="002B7954" w:rsidP="00AA7500">
    <w:pPr>
      <w:pStyle w:val="Footer"/>
      <w:jc w:val="right"/>
    </w:pPr>
  </w:p>
  <w:p w14:paraId="047E59F4" w14:textId="77777777" w:rsidR="002B7954" w:rsidRDefault="002B795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1238"/>
      <w:docPartObj>
        <w:docPartGallery w:val="Page Numbers (Bottom of Page)"/>
        <w:docPartUnique/>
      </w:docPartObj>
    </w:sdtPr>
    <w:sdtEndPr/>
    <w:sdtContent>
      <w:p w14:paraId="038A5378" w14:textId="236FE6EB" w:rsidR="002B7954" w:rsidRDefault="002B7954" w:rsidP="00AA7500">
        <w:pPr>
          <w:pStyle w:val="Footer"/>
          <w:jc w:val="right"/>
        </w:pPr>
        <w:r>
          <w:fldChar w:fldCharType="begin"/>
        </w:r>
        <w:r>
          <w:instrText xml:space="preserve"> PAGE   \* MERGEFORMAT </w:instrText>
        </w:r>
        <w:r>
          <w:fldChar w:fldCharType="separate"/>
        </w:r>
        <w:r>
          <w:rPr>
            <w:noProof/>
          </w:rPr>
          <w:t>57</w:t>
        </w:r>
        <w:r>
          <w:rPr>
            <w:noProof/>
          </w:rPr>
          <w:fldChar w:fldCharType="end"/>
        </w:r>
      </w:p>
    </w:sdtContent>
  </w:sdt>
  <w:p w14:paraId="6CB0D445" w14:textId="77777777" w:rsidR="002B7954" w:rsidRDefault="002B79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0BBC8" w14:textId="77777777" w:rsidR="00EF1A57" w:rsidRDefault="00EF1A57" w:rsidP="00B90FD2">
      <w:pPr>
        <w:spacing w:after="0" w:line="240" w:lineRule="auto"/>
      </w:pPr>
      <w:r>
        <w:separator/>
      </w:r>
    </w:p>
  </w:footnote>
  <w:footnote w:type="continuationSeparator" w:id="0">
    <w:p w14:paraId="29943B27" w14:textId="77777777" w:rsidR="00EF1A57" w:rsidRDefault="00EF1A57" w:rsidP="00B90FD2">
      <w:pPr>
        <w:spacing w:after="0" w:line="240" w:lineRule="auto"/>
      </w:pPr>
      <w:r>
        <w:continuationSeparator/>
      </w:r>
    </w:p>
  </w:footnote>
  <w:footnote w:id="1">
    <w:p w14:paraId="14C4FC96" w14:textId="77777777" w:rsidR="002B7954" w:rsidRDefault="002B7954" w:rsidP="00D2224D">
      <w:pPr>
        <w:pStyle w:val="FootnoteText"/>
      </w:pPr>
      <w:r>
        <w:rPr>
          <w:rStyle w:val="FootnoteReference"/>
        </w:rPr>
        <w:footnoteRef/>
      </w:r>
      <w:r>
        <w:t xml:space="preserve"> </w:t>
      </w:r>
      <w:hyperlink r:id="rId1" w:history="1">
        <w:r>
          <w:rPr>
            <w:rStyle w:val="Hyperlink"/>
          </w:rPr>
          <w:t>https://www.tn.gov/content/dam/tn/agriculture/documents/forestry/AgForBMPs.pdf</w:t>
        </w:r>
      </w:hyperlink>
    </w:p>
  </w:footnote>
  <w:footnote w:id="2">
    <w:p w14:paraId="641AD009" w14:textId="77777777" w:rsidR="002B7954" w:rsidRDefault="002B7954" w:rsidP="00D2224D">
      <w:pPr>
        <w:pStyle w:val="FootnoteText"/>
      </w:pPr>
      <w:r>
        <w:rPr>
          <w:rStyle w:val="FootnoteReference"/>
        </w:rPr>
        <w:footnoteRef/>
      </w:r>
      <w:r>
        <w:t xml:space="preserve"> </w:t>
      </w:r>
      <w:hyperlink r:id="rId2" w:history="1">
        <w:r>
          <w:rPr>
            <w:rStyle w:val="Hyperlink"/>
          </w:rPr>
          <w:t>https://www.sciencebase.gov/catalog/item/5a96cdc8e4b06990606c4d82</w:t>
        </w:r>
      </w:hyperlink>
    </w:p>
  </w:footnote>
  <w:footnote w:id="3">
    <w:p w14:paraId="24675942" w14:textId="408DC596" w:rsidR="002B7954" w:rsidRPr="006870FB" w:rsidRDefault="002B7954" w:rsidP="007165A6">
      <w:pPr>
        <w:pStyle w:val="FootnoteText"/>
        <w:rPr>
          <w:color w:val="0000FF" w:themeColor="hyperlink"/>
          <w:u w:val="single"/>
        </w:rPr>
      </w:pPr>
      <w:r>
        <w:rPr>
          <w:rStyle w:val="FootnoteReference"/>
        </w:rPr>
        <w:footnoteRef/>
      </w:r>
      <w:r>
        <w:t xml:space="preserve"> USFS Wildland Fire Assessment System </w:t>
      </w:r>
      <w:hyperlink r:id="rId3" w:history="1">
        <w:r w:rsidRPr="0004118D">
          <w:rPr>
            <w:rStyle w:val="Hyperlink"/>
          </w:rPr>
          <w:t>https://www.wfas.net/index.php/fire-danger-rating-fire-potential--danger-32</w:t>
        </w:r>
      </w:hyperlink>
      <w:r>
        <w:t xml:space="preserve"> Project area region typically categorized under low fire danger rating. Also classified as low by Dillon, G.K.; J. Menakis; and F. Fay. 2015. </w:t>
      </w:r>
      <w:hyperlink r:id="rId4" w:tgtFrame="_blank" w:tooltip=" Publication" w:history="1">
        <w:r>
          <w:rPr>
            <w:rStyle w:val="Hyperlink"/>
          </w:rPr>
          <w:t>Wildland Fire Potential: A Tool for Assessing Wildfire Risk and Fuels Management Needs.</w:t>
        </w:r>
        <w:r>
          <w:rPr>
            <w:rStyle w:val="element-invisible"/>
            <w:color w:val="0000FF"/>
            <w:u w:val="single"/>
          </w:rPr>
          <w:t xml:space="preserve"> (link is external)</w:t>
        </w:r>
      </w:hyperlink>
      <w:r>
        <w:t xml:space="preserve"> pp 60-76 In Keane, R. E.; Jolly, M.; Parsons, R.; and Riley, K. Proceedings of the large wildland fires conference; May 19-23, 2014; Missoula, MT. Proc. RMRS-P-73. Fort Collins, CO: U.S. Department of Agriculture, Forest Service, Rocky Mountain Research Station. 345 p. No fires &gt;1000ac have occurred in this region in the past 12 months, Southern Area Coordinator Center </w:t>
      </w:r>
      <w:hyperlink r:id="rId5" w:history="1">
        <w:r w:rsidRPr="00214804">
          <w:rPr>
            <w:rStyle w:val="Hyperlink"/>
          </w:rPr>
          <w:t>https://gacc.nifc.gov/sacc/</w:t>
        </w:r>
      </w:hyperlink>
    </w:p>
  </w:footnote>
  <w:footnote w:id="4">
    <w:p w14:paraId="0BA9E742" w14:textId="69D78E0B" w:rsidR="002B7954" w:rsidRDefault="002B7954">
      <w:pPr>
        <w:pStyle w:val="FootnoteText"/>
      </w:pPr>
      <w:r>
        <w:rPr>
          <w:rStyle w:val="FootnoteReference"/>
        </w:rPr>
        <w:footnoteRef/>
      </w:r>
      <w:r>
        <w:t xml:space="preserve"> In the case of the project area, the most relevant and potentially damaging forest pest/disease would be southern pine beetle and/or emerald ash borer. 1-10% of the county is at high risk of loss due to pine beetle   </w:t>
      </w:r>
      <w:hyperlink r:id="rId6" w:history="1">
        <w:r w:rsidRPr="00214804">
          <w:rPr>
            <w:rStyle w:val="Hyperlink"/>
          </w:rPr>
          <w:t>https://foresthealth.fs.usda.gov/nidrm/</w:t>
        </w:r>
      </w:hyperlink>
      <w:r>
        <w:t xml:space="preserve">. No major epidemics of southern pine beetle have occurred in the regions since the 1999-2001 outbreak. Ash is a minimal component of overall forest carbon stock. </w:t>
      </w:r>
    </w:p>
  </w:footnote>
  <w:footnote w:id="5">
    <w:p w14:paraId="713BBBAE" w14:textId="3E6774A3" w:rsidR="002B7954" w:rsidRDefault="002B7954">
      <w:pPr>
        <w:pStyle w:val="FootnoteText"/>
      </w:pPr>
      <w:r>
        <w:rPr>
          <w:rStyle w:val="FootnoteReference"/>
        </w:rPr>
        <w:footnoteRef/>
      </w:r>
      <w:r>
        <w:t xml:space="preserve"> </w:t>
      </w:r>
      <w:hyperlink r:id="rId7" w:history="1">
        <w:r w:rsidRPr="001065D5">
          <w:rPr>
            <w:rStyle w:val="Hyperlink"/>
          </w:rPr>
          <w:t>https://www.tn.gov/content/dam/tn/agriculture/documents/forestry/AgForBMPs.pdf</w:t>
        </w:r>
      </w:hyperlink>
      <w:r>
        <w:t xml:space="preserve"> </w:t>
      </w:r>
    </w:p>
  </w:footnote>
  <w:footnote w:id="6">
    <w:p w14:paraId="0A0B97B8" w14:textId="706898A9" w:rsidR="002B7954" w:rsidRDefault="002B7954">
      <w:pPr>
        <w:pStyle w:val="FootnoteText"/>
      </w:pPr>
      <w:r>
        <w:rPr>
          <w:rStyle w:val="FootnoteReference"/>
        </w:rPr>
        <w:footnoteRef/>
      </w:r>
      <w:r>
        <w:t xml:space="preserve"> </w:t>
      </w:r>
      <w:hyperlink r:id="rId8" w:history="1">
        <w:r w:rsidRPr="001C18A1">
          <w:rPr>
            <w:rStyle w:val="Hyperlink"/>
          </w:rPr>
          <w:t>https://www.arb.ca.gov/cc/capandtrade/protocols/usforest/usforestprojects_2015.htm</w:t>
        </w:r>
      </w:hyperlink>
      <w:r>
        <w:t xml:space="preserve"> </w:t>
      </w:r>
    </w:p>
  </w:footnote>
  <w:footnote w:id="7">
    <w:p w14:paraId="4BCA710C" w14:textId="77777777" w:rsidR="002B7954" w:rsidRPr="00965105" w:rsidRDefault="002B7954" w:rsidP="007344DF">
      <w:pPr>
        <w:pStyle w:val="FootnoteText"/>
      </w:pPr>
      <w:r>
        <w:rPr>
          <w:rStyle w:val="FootnoteReference"/>
        </w:rPr>
        <w:footnoteRef/>
      </w:r>
      <w:r w:rsidRPr="00965105">
        <w:t xml:space="preserve"> Jenkins, J.C., Chojnacky, D.C., Heath, L.S. and R.A. Birdsey. 2003. National-scale biomass estimators for United States tree species. </w:t>
      </w:r>
      <w:r w:rsidRPr="00876E24">
        <w:rPr>
          <w:iCs/>
        </w:rPr>
        <w:t xml:space="preserve">Forest Science </w:t>
      </w:r>
      <w:r w:rsidRPr="00876E24">
        <w:rPr>
          <w:bCs/>
        </w:rPr>
        <w:t>49</w:t>
      </w:r>
      <w:r w:rsidRPr="00876E24">
        <w:t>:12-35</w:t>
      </w:r>
    </w:p>
  </w:footnote>
  <w:footnote w:id="8">
    <w:p w14:paraId="5AF0BDA4" w14:textId="3DAC1BB5" w:rsidR="002B7954" w:rsidRPr="00690B13" w:rsidRDefault="002B7954" w:rsidP="007344DF">
      <w:pPr>
        <w:pStyle w:val="FootnoteText"/>
      </w:pPr>
      <w:r>
        <w:rPr>
          <w:rStyle w:val="FootnoteReference"/>
        </w:rPr>
        <w:footnoteRef/>
      </w:r>
      <w:r w:rsidRPr="00690B13">
        <w:t xml:space="preserve"> </w:t>
      </w:r>
      <w:r w:rsidRPr="00FE46F4">
        <w:t>Keyser, Chad E., comp. 2008 (revised May 8, 2012). Southern (SN) Variant Overview – Forest Vegetation Simulator. Internal Rep. Fort Collins, CO: U. S. Department of Agriculture, Forest Service, Forest Management Service Center. 70p.</w:t>
      </w:r>
    </w:p>
  </w:footnote>
  <w:footnote w:id="9">
    <w:p w14:paraId="60A8349D" w14:textId="77777777" w:rsidR="002B7954" w:rsidRPr="000B162A" w:rsidRDefault="002B7954" w:rsidP="007344DF">
      <w:pPr>
        <w:pStyle w:val="FootnoteText"/>
      </w:pPr>
      <w:r>
        <w:rPr>
          <w:rStyle w:val="FootnoteReference"/>
        </w:rPr>
        <w:footnoteRef/>
      </w:r>
      <w:r w:rsidRPr="000B162A">
        <w:t xml:space="preserve"> </w:t>
      </w:r>
      <w:r>
        <w:t xml:space="preserve">Sourced at: </w:t>
      </w:r>
      <w:r w:rsidRPr="000B162A">
        <w:t>https://www.arb.ca.gov/cc/capandtrade/protocols/usforest/usforestprojects_2015.htm</w:t>
      </w:r>
    </w:p>
  </w:footnote>
  <w:footnote w:id="10">
    <w:p w14:paraId="2FF7446D" w14:textId="77777777" w:rsidR="002B7954" w:rsidRDefault="002B7954" w:rsidP="007344DF">
      <w:pPr>
        <w:autoSpaceDE w:val="0"/>
        <w:autoSpaceDN w:val="0"/>
        <w:adjustRightInd w:val="0"/>
        <w:rPr>
          <w:rFonts w:cstheme="minorHAnsi"/>
        </w:rPr>
      </w:pPr>
      <w:r>
        <w:rPr>
          <w:rStyle w:val="FootnoteReference"/>
        </w:rPr>
        <w:footnoteRef/>
      </w:r>
      <w:r w:rsidRPr="00AA4804">
        <w:t xml:space="preserve"> </w:t>
      </w:r>
      <w:r w:rsidRPr="00AA4804">
        <w:rPr>
          <w:sz w:val="18"/>
          <w:szCs w:val="18"/>
        </w:rPr>
        <w:t>Sourced from Smith JE, Heath LS, Skog KE, Birdsey RA (2006) Methods for calculating forest ecosystem and harvested carbon with standard</w:t>
      </w:r>
      <w:r>
        <w:rPr>
          <w:sz w:val="18"/>
          <w:szCs w:val="18"/>
        </w:rPr>
        <w:t xml:space="preserve"> </w:t>
      </w:r>
      <w:r w:rsidRPr="00AA4804">
        <w:rPr>
          <w:sz w:val="18"/>
          <w:szCs w:val="18"/>
        </w:rPr>
        <w:t xml:space="preserve">estimates for forest types of the United States. In: General Technical Report NE-343 (eds Usdafs), PP. 218. </w:t>
      </w:r>
      <w:r w:rsidRPr="00316074">
        <w:rPr>
          <w:sz w:val="18"/>
          <w:szCs w:val="18"/>
        </w:rPr>
        <w:t>USDA Forest Service, Washington, DC, USA.</w:t>
      </w:r>
    </w:p>
    <w:p w14:paraId="3C08D7D3" w14:textId="77777777" w:rsidR="002B7954" w:rsidRPr="00AA4804" w:rsidRDefault="002B7954" w:rsidP="007344D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5B890" w14:textId="77777777" w:rsidR="002B7954" w:rsidRDefault="002B79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93C0C" w14:textId="77777777" w:rsidR="002B7954" w:rsidRDefault="002B79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0FDC9" w14:textId="77777777" w:rsidR="002B7954" w:rsidRDefault="002B79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C5A2F" w14:textId="6C830A34" w:rsidR="002B7954" w:rsidRPr="009B76EE" w:rsidRDefault="002B7954" w:rsidP="00513FD6">
    <w:pPr>
      <w:pStyle w:val="Header"/>
      <w:jc w:val="right"/>
      <w:rPr>
        <w:b/>
      </w:rPr>
    </w:pPr>
    <w:r w:rsidRPr="009B76EE">
      <w:rPr>
        <w:b/>
      </w:rPr>
      <w:t>Tennessee Nature Conservancy/UT AgResearch Working Woodlands Project</w:t>
    </w:r>
  </w:p>
  <w:p w14:paraId="14BC62FE" w14:textId="77777777" w:rsidR="002B7954" w:rsidRPr="000F4138" w:rsidRDefault="002B7954" w:rsidP="000F41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46D1"/>
    <w:multiLevelType w:val="hybridMultilevel"/>
    <w:tmpl w:val="80140B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5372C"/>
    <w:multiLevelType w:val="hybridMultilevel"/>
    <w:tmpl w:val="492A515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51908C7"/>
    <w:multiLevelType w:val="hybridMultilevel"/>
    <w:tmpl w:val="846EE012"/>
    <w:lvl w:ilvl="0" w:tplc="A0989986">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C2582C"/>
    <w:multiLevelType w:val="hybridMultilevel"/>
    <w:tmpl w:val="846EE012"/>
    <w:lvl w:ilvl="0" w:tplc="A0989986">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7272BC"/>
    <w:multiLevelType w:val="hybridMultilevel"/>
    <w:tmpl w:val="BF4A0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237AFC"/>
    <w:multiLevelType w:val="hybridMultilevel"/>
    <w:tmpl w:val="ACDADD40"/>
    <w:lvl w:ilvl="0" w:tplc="F614DF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145DC4"/>
    <w:multiLevelType w:val="hybridMultilevel"/>
    <w:tmpl w:val="57002F8A"/>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B1206F"/>
    <w:multiLevelType w:val="hybridMultilevel"/>
    <w:tmpl w:val="846EE012"/>
    <w:lvl w:ilvl="0" w:tplc="A0989986">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F65ED0"/>
    <w:multiLevelType w:val="hybridMultilevel"/>
    <w:tmpl w:val="405ED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DE1200"/>
    <w:multiLevelType w:val="hybridMultilevel"/>
    <w:tmpl w:val="C972B93C"/>
    <w:lvl w:ilvl="0" w:tplc="E3EA486C">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53A81481"/>
    <w:multiLevelType w:val="hybridMultilevel"/>
    <w:tmpl w:val="89249F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D52FBF"/>
    <w:multiLevelType w:val="hybridMultilevel"/>
    <w:tmpl w:val="FB78DF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2977D2A"/>
    <w:multiLevelType w:val="hybridMultilevel"/>
    <w:tmpl w:val="1E109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555DE2"/>
    <w:multiLevelType w:val="hybridMultilevel"/>
    <w:tmpl w:val="06FC3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6B2F07"/>
    <w:multiLevelType w:val="hybridMultilevel"/>
    <w:tmpl w:val="645C71A2"/>
    <w:lvl w:ilvl="0" w:tplc="84F8B774">
      <w:start w:val="3"/>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4"/>
  </w:num>
  <w:num w:numId="2">
    <w:abstractNumId w:val="0"/>
  </w:num>
  <w:num w:numId="3">
    <w:abstractNumId w:val="11"/>
  </w:num>
  <w:num w:numId="4">
    <w:abstractNumId w:val="1"/>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num>
  <w:num w:numId="9">
    <w:abstractNumId w:val="6"/>
  </w:num>
  <w:num w:numId="10">
    <w:abstractNumId w:val="10"/>
  </w:num>
  <w:num w:numId="11">
    <w:abstractNumId w:val="13"/>
  </w:num>
  <w:num w:numId="12">
    <w:abstractNumId w:val="3"/>
  </w:num>
  <w:num w:numId="13">
    <w:abstractNumId w:val="12"/>
  </w:num>
  <w:num w:numId="14">
    <w:abstractNumId w:val="2"/>
  </w:num>
  <w:num w:numId="1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10"/>
  <w:displayHorizontalDrawingGridEvery w:val="2"/>
  <w:characterSpacingControl w:val="doNotCompress"/>
  <w:hdrShapeDefaults>
    <o:shapedefaults v:ext="edit" spidmax="2050" fillcolor="none [1942]">
      <v:fill color="none [1942]" opacity=".25"/>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C7BA683B-9AFA-4867-9594-FCD92DA41B15}"/>
    <w:docVar w:name="dgnword-eventsink" w:val="3734704"/>
  </w:docVars>
  <w:rsids>
    <w:rsidRoot w:val="00FA048C"/>
    <w:rsid w:val="00001505"/>
    <w:rsid w:val="00002ED5"/>
    <w:rsid w:val="00003A29"/>
    <w:rsid w:val="00003B4A"/>
    <w:rsid w:val="000054DC"/>
    <w:rsid w:val="00006790"/>
    <w:rsid w:val="00010631"/>
    <w:rsid w:val="00010AD3"/>
    <w:rsid w:val="00010C31"/>
    <w:rsid w:val="000117F1"/>
    <w:rsid w:val="000145A1"/>
    <w:rsid w:val="00015B26"/>
    <w:rsid w:val="00016D3B"/>
    <w:rsid w:val="00016F2E"/>
    <w:rsid w:val="00020BEF"/>
    <w:rsid w:val="00021369"/>
    <w:rsid w:val="0002160C"/>
    <w:rsid w:val="000226C5"/>
    <w:rsid w:val="000229BE"/>
    <w:rsid w:val="000231E6"/>
    <w:rsid w:val="00025AB7"/>
    <w:rsid w:val="00026127"/>
    <w:rsid w:val="000309E8"/>
    <w:rsid w:val="00030D77"/>
    <w:rsid w:val="00031020"/>
    <w:rsid w:val="00034121"/>
    <w:rsid w:val="00034D0E"/>
    <w:rsid w:val="000431F1"/>
    <w:rsid w:val="00043E1F"/>
    <w:rsid w:val="00044132"/>
    <w:rsid w:val="00044452"/>
    <w:rsid w:val="00046536"/>
    <w:rsid w:val="000474C2"/>
    <w:rsid w:val="000505B6"/>
    <w:rsid w:val="00050C68"/>
    <w:rsid w:val="000511B4"/>
    <w:rsid w:val="00051699"/>
    <w:rsid w:val="00051E28"/>
    <w:rsid w:val="000521EC"/>
    <w:rsid w:val="000531F1"/>
    <w:rsid w:val="000541FE"/>
    <w:rsid w:val="000542CB"/>
    <w:rsid w:val="00054359"/>
    <w:rsid w:val="00054E4D"/>
    <w:rsid w:val="00056D26"/>
    <w:rsid w:val="00056DBA"/>
    <w:rsid w:val="00060403"/>
    <w:rsid w:val="00062680"/>
    <w:rsid w:val="0006435F"/>
    <w:rsid w:val="00066464"/>
    <w:rsid w:val="00067629"/>
    <w:rsid w:val="0006781A"/>
    <w:rsid w:val="000679AA"/>
    <w:rsid w:val="00067C25"/>
    <w:rsid w:val="00070048"/>
    <w:rsid w:val="00070330"/>
    <w:rsid w:val="00071047"/>
    <w:rsid w:val="000715ED"/>
    <w:rsid w:val="00071BFB"/>
    <w:rsid w:val="00072549"/>
    <w:rsid w:val="000729EE"/>
    <w:rsid w:val="00072CDA"/>
    <w:rsid w:val="00073575"/>
    <w:rsid w:val="00073987"/>
    <w:rsid w:val="00074842"/>
    <w:rsid w:val="00074BC8"/>
    <w:rsid w:val="00074DA3"/>
    <w:rsid w:val="000759AF"/>
    <w:rsid w:val="00075CF7"/>
    <w:rsid w:val="000778C8"/>
    <w:rsid w:val="00080362"/>
    <w:rsid w:val="000803F8"/>
    <w:rsid w:val="0008169F"/>
    <w:rsid w:val="00081F1A"/>
    <w:rsid w:val="000823FA"/>
    <w:rsid w:val="00082AF9"/>
    <w:rsid w:val="00082C28"/>
    <w:rsid w:val="000832A1"/>
    <w:rsid w:val="00084394"/>
    <w:rsid w:val="000852C6"/>
    <w:rsid w:val="00086369"/>
    <w:rsid w:val="00086975"/>
    <w:rsid w:val="0008711F"/>
    <w:rsid w:val="00087314"/>
    <w:rsid w:val="00090D6F"/>
    <w:rsid w:val="00091661"/>
    <w:rsid w:val="0009385D"/>
    <w:rsid w:val="0009414F"/>
    <w:rsid w:val="000971FA"/>
    <w:rsid w:val="00097542"/>
    <w:rsid w:val="000979BE"/>
    <w:rsid w:val="000A0696"/>
    <w:rsid w:val="000A1894"/>
    <w:rsid w:val="000A210C"/>
    <w:rsid w:val="000A2BF9"/>
    <w:rsid w:val="000A5622"/>
    <w:rsid w:val="000A57FC"/>
    <w:rsid w:val="000A69A1"/>
    <w:rsid w:val="000A788C"/>
    <w:rsid w:val="000A7DDB"/>
    <w:rsid w:val="000B0488"/>
    <w:rsid w:val="000B121F"/>
    <w:rsid w:val="000B2221"/>
    <w:rsid w:val="000B2ECA"/>
    <w:rsid w:val="000B3539"/>
    <w:rsid w:val="000B3D25"/>
    <w:rsid w:val="000B658C"/>
    <w:rsid w:val="000B671D"/>
    <w:rsid w:val="000B693B"/>
    <w:rsid w:val="000B7327"/>
    <w:rsid w:val="000B7563"/>
    <w:rsid w:val="000C0385"/>
    <w:rsid w:val="000C0B7D"/>
    <w:rsid w:val="000C141A"/>
    <w:rsid w:val="000C23A2"/>
    <w:rsid w:val="000C2FE5"/>
    <w:rsid w:val="000C34CD"/>
    <w:rsid w:val="000C3CB9"/>
    <w:rsid w:val="000C4DC7"/>
    <w:rsid w:val="000C53C6"/>
    <w:rsid w:val="000C5F3A"/>
    <w:rsid w:val="000C6003"/>
    <w:rsid w:val="000C715A"/>
    <w:rsid w:val="000C77A6"/>
    <w:rsid w:val="000C79B2"/>
    <w:rsid w:val="000D06FE"/>
    <w:rsid w:val="000D2609"/>
    <w:rsid w:val="000D2A09"/>
    <w:rsid w:val="000D2BA0"/>
    <w:rsid w:val="000D2F08"/>
    <w:rsid w:val="000D38E9"/>
    <w:rsid w:val="000D3A71"/>
    <w:rsid w:val="000D4754"/>
    <w:rsid w:val="000D5064"/>
    <w:rsid w:val="000D5DCB"/>
    <w:rsid w:val="000D5EB7"/>
    <w:rsid w:val="000D64DB"/>
    <w:rsid w:val="000D69A4"/>
    <w:rsid w:val="000D6D5D"/>
    <w:rsid w:val="000D6F1F"/>
    <w:rsid w:val="000E0403"/>
    <w:rsid w:val="000E23B0"/>
    <w:rsid w:val="000E3951"/>
    <w:rsid w:val="000E42C4"/>
    <w:rsid w:val="000E4405"/>
    <w:rsid w:val="000E48B8"/>
    <w:rsid w:val="000E560D"/>
    <w:rsid w:val="000E5758"/>
    <w:rsid w:val="000E6A53"/>
    <w:rsid w:val="000E7F93"/>
    <w:rsid w:val="000F0511"/>
    <w:rsid w:val="000F1355"/>
    <w:rsid w:val="000F2F5C"/>
    <w:rsid w:val="000F3231"/>
    <w:rsid w:val="000F35C3"/>
    <w:rsid w:val="000F3B4E"/>
    <w:rsid w:val="000F4138"/>
    <w:rsid w:val="000F632B"/>
    <w:rsid w:val="000F6CBD"/>
    <w:rsid w:val="000F6F61"/>
    <w:rsid w:val="000F7B24"/>
    <w:rsid w:val="00100210"/>
    <w:rsid w:val="001006CE"/>
    <w:rsid w:val="00101FB2"/>
    <w:rsid w:val="00103489"/>
    <w:rsid w:val="001036E4"/>
    <w:rsid w:val="00103C94"/>
    <w:rsid w:val="00105377"/>
    <w:rsid w:val="00105635"/>
    <w:rsid w:val="00105B61"/>
    <w:rsid w:val="00105BAC"/>
    <w:rsid w:val="00106987"/>
    <w:rsid w:val="00110DE4"/>
    <w:rsid w:val="00111795"/>
    <w:rsid w:val="00111D7B"/>
    <w:rsid w:val="001130FF"/>
    <w:rsid w:val="001131AC"/>
    <w:rsid w:val="001138A1"/>
    <w:rsid w:val="00114C43"/>
    <w:rsid w:val="00114F1F"/>
    <w:rsid w:val="00115DDF"/>
    <w:rsid w:val="001174E4"/>
    <w:rsid w:val="001208EA"/>
    <w:rsid w:val="0012167A"/>
    <w:rsid w:val="0012341C"/>
    <w:rsid w:val="00123CD7"/>
    <w:rsid w:val="0012428A"/>
    <w:rsid w:val="00124292"/>
    <w:rsid w:val="00124320"/>
    <w:rsid w:val="00124522"/>
    <w:rsid w:val="00124790"/>
    <w:rsid w:val="00126133"/>
    <w:rsid w:val="00127553"/>
    <w:rsid w:val="00130DE6"/>
    <w:rsid w:val="00131466"/>
    <w:rsid w:val="00133ACF"/>
    <w:rsid w:val="001346A9"/>
    <w:rsid w:val="001352D3"/>
    <w:rsid w:val="00135418"/>
    <w:rsid w:val="00135FE4"/>
    <w:rsid w:val="0013665C"/>
    <w:rsid w:val="00136931"/>
    <w:rsid w:val="00137D2C"/>
    <w:rsid w:val="00137F16"/>
    <w:rsid w:val="0014020F"/>
    <w:rsid w:val="00142A7E"/>
    <w:rsid w:val="00143990"/>
    <w:rsid w:val="001443CB"/>
    <w:rsid w:val="00145C17"/>
    <w:rsid w:val="0014606F"/>
    <w:rsid w:val="00146E9C"/>
    <w:rsid w:val="001471A1"/>
    <w:rsid w:val="00147EDC"/>
    <w:rsid w:val="00150023"/>
    <w:rsid w:val="00151470"/>
    <w:rsid w:val="001539C1"/>
    <w:rsid w:val="0015434A"/>
    <w:rsid w:val="001552BD"/>
    <w:rsid w:val="001552D3"/>
    <w:rsid w:val="00155BC3"/>
    <w:rsid w:val="00155CED"/>
    <w:rsid w:val="00156D41"/>
    <w:rsid w:val="00156E22"/>
    <w:rsid w:val="001604E3"/>
    <w:rsid w:val="00160AD6"/>
    <w:rsid w:val="00160E6B"/>
    <w:rsid w:val="00162639"/>
    <w:rsid w:val="00163A24"/>
    <w:rsid w:val="001672B1"/>
    <w:rsid w:val="00167F7A"/>
    <w:rsid w:val="001700A2"/>
    <w:rsid w:val="00171A72"/>
    <w:rsid w:val="00172707"/>
    <w:rsid w:val="00176610"/>
    <w:rsid w:val="00176828"/>
    <w:rsid w:val="0017746E"/>
    <w:rsid w:val="00181BB2"/>
    <w:rsid w:val="00182618"/>
    <w:rsid w:val="001838DC"/>
    <w:rsid w:val="00183FF8"/>
    <w:rsid w:val="001841B7"/>
    <w:rsid w:val="00184609"/>
    <w:rsid w:val="0018460E"/>
    <w:rsid w:val="00184689"/>
    <w:rsid w:val="00184778"/>
    <w:rsid w:val="00184928"/>
    <w:rsid w:val="00184B0E"/>
    <w:rsid w:val="00184B1E"/>
    <w:rsid w:val="00185380"/>
    <w:rsid w:val="001867A2"/>
    <w:rsid w:val="0018717D"/>
    <w:rsid w:val="00190B49"/>
    <w:rsid w:val="00191DFC"/>
    <w:rsid w:val="00193F38"/>
    <w:rsid w:val="0019414D"/>
    <w:rsid w:val="0019463F"/>
    <w:rsid w:val="00194885"/>
    <w:rsid w:val="00194CF6"/>
    <w:rsid w:val="00194D50"/>
    <w:rsid w:val="00194E90"/>
    <w:rsid w:val="00195DCA"/>
    <w:rsid w:val="00195ECE"/>
    <w:rsid w:val="00197F4C"/>
    <w:rsid w:val="001A07C7"/>
    <w:rsid w:val="001A091F"/>
    <w:rsid w:val="001A220D"/>
    <w:rsid w:val="001A4516"/>
    <w:rsid w:val="001A48A5"/>
    <w:rsid w:val="001A498E"/>
    <w:rsid w:val="001A49C2"/>
    <w:rsid w:val="001A4BD3"/>
    <w:rsid w:val="001A4E61"/>
    <w:rsid w:val="001A52AE"/>
    <w:rsid w:val="001A5985"/>
    <w:rsid w:val="001A6355"/>
    <w:rsid w:val="001A7ACD"/>
    <w:rsid w:val="001B03AD"/>
    <w:rsid w:val="001B059F"/>
    <w:rsid w:val="001B1220"/>
    <w:rsid w:val="001B1891"/>
    <w:rsid w:val="001B3A07"/>
    <w:rsid w:val="001B405C"/>
    <w:rsid w:val="001B4223"/>
    <w:rsid w:val="001B5043"/>
    <w:rsid w:val="001B5EE4"/>
    <w:rsid w:val="001C06C8"/>
    <w:rsid w:val="001C1DB7"/>
    <w:rsid w:val="001C1F4F"/>
    <w:rsid w:val="001C2C30"/>
    <w:rsid w:val="001C2C3E"/>
    <w:rsid w:val="001C2C79"/>
    <w:rsid w:val="001C367C"/>
    <w:rsid w:val="001C3A0B"/>
    <w:rsid w:val="001C3CCA"/>
    <w:rsid w:val="001C531D"/>
    <w:rsid w:val="001C6041"/>
    <w:rsid w:val="001C6FB9"/>
    <w:rsid w:val="001C7A86"/>
    <w:rsid w:val="001D1882"/>
    <w:rsid w:val="001D4A45"/>
    <w:rsid w:val="001D72BC"/>
    <w:rsid w:val="001D7E9F"/>
    <w:rsid w:val="001D7F68"/>
    <w:rsid w:val="001E0250"/>
    <w:rsid w:val="001E1D38"/>
    <w:rsid w:val="001E28B0"/>
    <w:rsid w:val="001E2B82"/>
    <w:rsid w:val="001E39B9"/>
    <w:rsid w:val="001E4382"/>
    <w:rsid w:val="001E4436"/>
    <w:rsid w:val="001E486E"/>
    <w:rsid w:val="001E48DB"/>
    <w:rsid w:val="001E55F2"/>
    <w:rsid w:val="001E56F1"/>
    <w:rsid w:val="001E6713"/>
    <w:rsid w:val="001F076A"/>
    <w:rsid w:val="001F145D"/>
    <w:rsid w:val="001F1C79"/>
    <w:rsid w:val="001F1F26"/>
    <w:rsid w:val="001F1F5F"/>
    <w:rsid w:val="001F2BBE"/>
    <w:rsid w:val="001F4A19"/>
    <w:rsid w:val="001F54C7"/>
    <w:rsid w:val="001F5C4B"/>
    <w:rsid w:val="002000EE"/>
    <w:rsid w:val="002008B7"/>
    <w:rsid w:val="00202257"/>
    <w:rsid w:val="0020310F"/>
    <w:rsid w:val="00203C66"/>
    <w:rsid w:val="0020574E"/>
    <w:rsid w:val="00205C0A"/>
    <w:rsid w:val="0020722A"/>
    <w:rsid w:val="00207370"/>
    <w:rsid w:val="00207CC4"/>
    <w:rsid w:val="0021019E"/>
    <w:rsid w:val="00210B5A"/>
    <w:rsid w:val="00210E77"/>
    <w:rsid w:val="0021178F"/>
    <w:rsid w:val="0021222F"/>
    <w:rsid w:val="002122E9"/>
    <w:rsid w:val="00212341"/>
    <w:rsid w:val="00212697"/>
    <w:rsid w:val="00213759"/>
    <w:rsid w:val="00214D24"/>
    <w:rsid w:val="00215521"/>
    <w:rsid w:val="00215D6E"/>
    <w:rsid w:val="00215ED7"/>
    <w:rsid w:val="00217556"/>
    <w:rsid w:val="00220B58"/>
    <w:rsid w:val="00220D91"/>
    <w:rsid w:val="002215DB"/>
    <w:rsid w:val="00222AA9"/>
    <w:rsid w:val="002231F6"/>
    <w:rsid w:val="00223200"/>
    <w:rsid w:val="00223214"/>
    <w:rsid w:val="002235C3"/>
    <w:rsid w:val="00223786"/>
    <w:rsid w:val="002268C6"/>
    <w:rsid w:val="0022698F"/>
    <w:rsid w:val="002272A9"/>
    <w:rsid w:val="00227915"/>
    <w:rsid w:val="00230703"/>
    <w:rsid w:val="00233609"/>
    <w:rsid w:val="002342EF"/>
    <w:rsid w:val="002346E0"/>
    <w:rsid w:val="00234799"/>
    <w:rsid w:val="002362AE"/>
    <w:rsid w:val="0023667B"/>
    <w:rsid w:val="00236DE7"/>
    <w:rsid w:val="00237ABB"/>
    <w:rsid w:val="00237D7A"/>
    <w:rsid w:val="002405DD"/>
    <w:rsid w:val="0024075D"/>
    <w:rsid w:val="00241383"/>
    <w:rsid w:val="002413D8"/>
    <w:rsid w:val="00241852"/>
    <w:rsid w:val="00241899"/>
    <w:rsid w:val="00241A96"/>
    <w:rsid w:val="00241D23"/>
    <w:rsid w:val="00243F05"/>
    <w:rsid w:val="00244674"/>
    <w:rsid w:val="00246AE9"/>
    <w:rsid w:val="00247155"/>
    <w:rsid w:val="0024746C"/>
    <w:rsid w:val="002474C2"/>
    <w:rsid w:val="00247821"/>
    <w:rsid w:val="00250C89"/>
    <w:rsid w:val="00251944"/>
    <w:rsid w:val="00251FE4"/>
    <w:rsid w:val="0025250D"/>
    <w:rsid w:val="0025262D"/>
    <w:rsid w:val="002528C7"/>
    <w:rsid w:val="00252C88"/>
    <w:rsid w:val="00253888"/>
    <w:rsid w:val="00253941"/>
    <w:rsid w:val="00253D88"/>
    <w:rsid w:val="002541DE"/>
    <w:rsid w:val="002559D9"/>
    <w:rsid w:val="00257BCC"/>
    <w:rsid w:val="002605E2"/>
    <w:rsid w:val="00260949"/>
    <w:rsid w:val="002613D8"/>
    <w:rsid w:val="00261795"/>
    <w:rsid w:val="00261BC3"/>
    <w:rsid w:val="002630AB"/>
    <w:rsid w:val="00263673"/>
    <w:rsid w:val="00263C87"/>
    <w:rsid w:val="00263F55"/>
    <w:rsid w:val="00264C83"/>
    <w:rsid w:val="00265768"/>
    <w:rsid w:val="00265B0D"/>
    <w:rsid w:val="00265C4E"/>
    <w:rsid w:val="00266203"/>
    <w:rsid w:val="002669F9"/>
    <w:rsid w:val="00271140"/>
    <w:rsid w:val="00271979"/>
    <w:rsid w:val="002720F2"/>
    <w:rsid w:val="0027221A"/>
    <w:rsid w:val="002742B4"/>
    <w:rsid w:val="00274612"/>
    <w:rsid w:val="00275107"/>
    <w:rsid w:val="00276268"/>
    <w:rsid w:val="00280111"/>
    <w:rsid w:val="00280185"/>
    <w:rsid w:val="00280C06"/>
    <w:rsid w:val="00281C15"/>
    <w:rsid w:val="00282926"/>
    <w:rsid w:val="002841E2"/>
    <w:rsid w:val="002866A4"/>
    <w:rsid w:val="00286F8B"/>
    <w:rsid w:val="002871FD"/>
    <w:rsid w:val="00287450"/>
    <w:rsid w:val="002876F9"/>
    <w:rsid w:val="00287B80"/>
    <w:rsid w:val="002900AC"/>
    <w:rsid w:val="002903AA"/>
    <w:rsid w:val="0029193A"/>
    <w:rsid w:val="00291E0F"/>
    <w:rsid w:val="00292958"/>
    <w:rsid w:val="00295429"/>
    <w:rsid w:val="00295E31"/>
    <w:rsid w:val="002960BF"/>
    <w:rsid w:val="00296B65"/>
    <w:rsid w:val="00296CFD"/>
    <w:rsid w:val="00297AE7"/>
    <w:rsid w:val="002A01D2"/>
    <w:rsid w:val="002A0ED6"/>
    <w:rsid w:val="002A1E7E"/>
    <w:rsid w:val="002A5522"/>
    <w:rsid w:val="002A632C"/>
    <w:rsid w:val="002A710D"/>
    <w:rsid w:val="002B01D2"/>
    <w:rsid w:val="002B0CA4"/>
    <w:rsid w:val="002B1889"/>
    <w:rsid w:val="002B2013"/>
    <w:rsid w:val="002B3A3C"/>
    <w:rsid w:val="002B3BE7"/>
    <w:rsid w:val="002B3BEF"/>
    <w:rsid w:val="002B430F"/>
    <w:rsid w:val="002B4AD9"/>
    <w:rsid w:val="002B4C47"/>
    <w:rsid w:val="002B4E46"/>
    <w:rsid w:val="002B6054"/>
    <w:rsid w:val="002B7954"/>
    <w:rsid w:val="002C0057"/>
    <w:rsid w:val="002C1E1D"/>
    <w:rsid w:val="002C2223"/>
    <w:rsid w:val="002C2C52"/>
    <w:rsid w:val="002C31C1"/>
    <w:rsid w:val="002C371E"/>
    <w:rsid w:val="002C3C0A"/>
    <w:rsid w:val="002C3E65"/>
    <w:rsid w:val="002C47E0"/>
    <w:rsid w:val="002C4F55"/>
    <w:rsid w:val="002C5A38"/>
    <w:rsid w:val="002C62FC"/>
    <w:rsid w:val="002C7239"/>
    <w:rsid w:val="002C77A1"/>
    <w:rsid w:val="002C79CE"/>
    <w:rsid w:val="002D030D"/>
    <w:rsid w:val="002D1C5D"/>
    <w:rsid w:val="002D2EFA"/>
    <w:rsid w:val="002D4111"/>
    <w:rsid w:val="002D4C45"/>
    <w:rsid w:val="002D65E3"/>
    <w:rsid w:val="002D702C"/>
    <w:rsid w:val="002D7B85"/>
    <w:rsid w:val="002E0162"/>
    <w:rsid w:val="002E1A2D"/>
    <w:rsid w:val="002E1A89"/>
    <w:rsid w:val="002E1AB5"/>
    <w:rsid w:val="002E4FC1"/>
    <w:rsid w:val="002E5071"/>
    <w:rsid w:val="002E5663"/>
    <w:rsid w:val="002E57C6"/>
    <w:rsid w:val="002E7138"/>
    <w:rsid w:val="002E7B1D"/>
    <w:rsid w:val="002F0412"/>
    <w:rsid w:val="002F0977"/>
    <w:rsid w:val="002F14FA"/>
    <w:rsid w:val="002F1DB9"/>
    <w:rsid w:val="002F218E"/>
    <w:rsid w:val="002F3A37"/>
    <w:rsid w:val="002F5B61"/>
    <w:rsid w:val="002F5C19"/>
    <w:rsid w:val="002F6A33"/>
    <w:rsid w:val="002F70D3"/>
    <w:rsid w:val="002F71BD"/>
    <w:rsid w:val="003013DE"/>
    <w:rsid w:val="00301433"/>
    <w:rsid w:val="003017AA"/>
    <w:rsid w:val="00301D3A"/>
    <w:rsid w:val="0030260E"/>
    <w:rsid w:val="00303C2E"/>
    <w:rsid w:val="0030637B"/>
    <w:rsid w:val="00306DEC"/>
    <w:rsid w:val="0030770E"/>
    <w:rsid w:val="0031178A"/>
    <w:rsid w:val="0031182B"/>
    <w:rsid w:val="003129E8"/>
    <w:rsid w:val="0031347F"/>
    <w:rsid w:val="00313AA4"/>
    <w:rsid w:val="00313CB1"/>
    <w:rsid w:val="00314E7D"/>
    <w:rsid w:val="00315F88"/>
    <w:rsid w:val="0031715B"/>
    <w:rsid w:val="0031739E"/>
    <w:rsid w:val="003200E5"/>
    <w:rsid w:val="0032166E"/>
    <w:rsid w:val="00321829"/>
    <w:rsid w:val="0032198C"/>
    <w:rsid w:val="003223F7"/>
    <w:rsid w:val="003226D5"/>
    <w:rsid w:val="0032293C"/>
    <w:rsid w:val="00322D16"/>
    <w:rsid w:val="00323102"/>
    <w:rsid w:val="003241D1"/>
    <w:rsid w:val="00326C25"/>
    <w:rsid w:val="003276F6"/>
    <w:rsid w:val="0033210F"/>
    <w:rsid w:val="00333E93"/>
    <w:rsid w:val="003346CF"/>
    <w:rsid w:val="0033491A"/>
    <w:rsid w:val="003349CF"/>
    <w:rsid w:val="00337FBB"/>
    <w:rsid w:val="003421A9"/>
    <w:rsid w:val="003436DF"/>
    <w:rsid w:val="00344205"/>
    <w:rsid w:val="0034435A"/>
    <w:rsid w:val="003448EC"/>
    <w:rsid w:val="00344BAB"/>
    <w:rsid w:val="00345156"/>
    <w:rsid w:val="00345B33"/>
    <w:rsid w:val="003467C4"/>
    <w:rsid w:val="003476B9"/>
    <w:rsid w:val="003478C1"/>
    <w:rsid w:val="0035098A"/>
    <w:rsid w:val="00350A7F"/>
    <w:rsid w:val="0035100C"/>
    <w:rsid w:val="003523DA"/>
    <w:rsid w:val="003525BE"/>
    <w:rsid w:val="0035265B"/>
    <w:rsid w:val="00352C2A"/>
    <w:rsid w:val="00352E0C"/>
    <w:rsid w:val="003531C0"/>
    <w:rsid w:val="00353CBB"/>
    <w:rsid w:val="00353E3E"/>
    <w:rsid w:val="00353F7F"/>
    <w:rsid w:val="0035490E"/>
    <w:rsid w:val="00355203"/>
    <w:rsid w:val="0035551B"/>
    <w:rsid w:val="003566F3"/>
    <w:rsid w:val="003569DD"/>
    <w:rsid w:val="003579C6"/>
    <w:rsid w:val="00361465"/>
    <w:rsid w:val="00361774"/>
    <w:rsid w:val="00361E4F"/>
    <w:rsid w:val="003624BC"/>
    <w:rsid w:val="0036341D"/>
    <w:rsid w:val="00363B38"/>
    <w:rsid w:val="00363B91"/>
    <w:rsid w:val="00363F43"/>
    <w:rsid w:val="00364C08"/>
    <w:rsid w:val="00364FEB"/>
    <w:rsid w:val="003659B4"/>
    <w:rsid w:val="00365D77"/>
    <w:rsid w:val="003660A4"/>
    <w:rsid w:val="003675DB"/>
    <w:rsid w:val="00367867"/>
    <w:rsid w:val="00367FD6"/>
    <w:rsid w:val="00370D48"/>
    <w:rsid w:val="003748A0"/>
    <w:rsid w:val="0037524D"/>
    <w:rsid w:val="00375867"/>
    <w:rsid w:val="00375A72"/>
    <w:rsid w:val="00375BB4"/>
    <w:rsid w:val="00375E37"/>
    <w:rsid w:val="00376720"/>
    <w:rsid w:val="0037683B"/>
    <w:rsid w:val="00377227"/>
    <w:rsid w:val="00377B43"/>
    <w:rsid w:val="00380154"/>
    <w:rsid w:val="0038057D"/>
    <w:rsid w:val="00381E30"/>
    <w:rsid w:val="00382F80"/>
    <w:rsid w:val="003830BC"/>
    <w:rsid w:val="003833F5"/>
    <w:rsid w:val="003838FB"/>
    <w:rsid w:val="00383A8C"/>
    <w:rsid w:val="00383FC4"/>
    <w:rsid w:val="00384529"/>
    <w:rsid w:val="003849AF"/>
    <w:rsid w:val="00384F14"/>
    <w:rsid w:val="003854B0"/>
    <w:rsid w:val="00390241"/>
    <w:rsid w:val="003919F3"/>
    <w:rsid w:val="00391F5B"/>
    <w:rsid w:val="003922A5"/>
    <w:rsid w:val="00393898"/>
    <w:rsid w:val="003946E8"/>
    <w:rsid w:val="0039518C"/>
    <w:rsid w:val="003951F6"/>
    <w:rsid w:val="00396772"/>
    <w:rsid w:val="003973F3"/>
    <w:rsid w:val="003976AE"/>
    <w:rsid w:val="003A0076"/>
    <w:rsid w:val="003A0BE9"/>
    <w:rsid w:val="003A0C4F"/>
    <w:rsid w:val="003A0D4E"/>
    <w:rsid w:val="003A244A"/>
    <w:rsid w:val="003A2BD3"/>
    <w:rsid w:val="003A3AB5"/>
    <w:rsid w:val="003A3B7B"/>
    <w:rsid w:val="003A3BD2"/>
    <w:rsid w:val="003A477A"/>
    <w:rsid w:val="003A47D3"/>
    <w:rsid w:val="003A537B"/>
    <w:rsid w:val="003A6AC3"/>
    <w:rsid w:val="003A7218"/>
    <w:rsid w:val="003B4E32"/>
    <w:rsid w:val="003B5643"/>
    <w:rsid w:val="003B7D55"/>
    <w:rsid w:val="003C1370"/>
    <w:rsid w:val="003C171A"/>
    <w:rsid w:val="003C4D50"/>
    <w:rsid w:val="003C67B5"/>
    <w:rsid w:val="003C7574"/>
    <w:rsid w:val="003C76C1"/>
    <w:rsid w:val="003C795C"/>
    <w:rsid w:val="003D04E5"/>
    <w:rsid w:val="003D09E0"/>
    <w:rsid w:val="003D0AB4"/>
    <w:rsid w:val="003D0CE2"/>
    <w:rsid w:val="003D3100"/>
    <w:rsid w:val="003D434B"/>
    <w:rsid w:val="003D564B"/>
    <w:rsid w:val="003D5EF2"/>
    <w:rsid w:val="003D62CA"/>
    <w:rsid w:val="003D7031"/>
    <w:rsid w:val="003D720C"/>
    <w:rsid w:val="003D779B"/>
    <w:rsid w:val="003D7DF1"/>
    <w:rsid w:val="003E097C"/>
    <w:rsid w:val="003E10B7"/>
    <w:rsid w:val="003E10EF"/>
    <w:rsid w:val="003E21C4"/>
    <w:rsid w:val="003E2B99"/>
    <w:rsid w:val="003E376C"/>
    <w:rsid w:val="003E398F"/>
    <w:rsid w:val="003E3B87"/>
    <w:rsid w:val="003E4410"/>
    <w:rsid w:val="003E4CD2"/>
    <w:rsid w:val="003E4FB6"/>
    <w:rsid w:val="003E5ADC"/>
    <w:rsid w:val="003E646B"/>
    <w:rsid w:val="003E67DA"/>
    <w:rsid w:val="003E680E"/>
    <w:rsid w:val="003E6CAF"/>
    <w:rsid w:val="003E73DA"/>
    <w:rsid w:val="003E7662"/>
    <w:rsid w:val="003E7EAC"/>
    <w:rsid w:val="003F1A5B"/>
    <w:rsid w:val="003F1D04"/>
    <w:rsid w:val="003F2419"/>
    <w:rsid w:val="003F2734"/>
    <w:rsid w:val="003F3B95"/>
    <w:rsid w:val="003F4848"/>
    <w:rsid w:val="003F4CA8"/>
    <w:rsid w:val="003F7684"/>
    <w:rsid w:val="0040112E"/>
    <w:rsid w:val="00404BD2"/>
    <w:rsid w:val="0040518D"/>
    <w:rsid w:val="00406E9E"/>
    <w:rsid w:val="004124F6"/>
    <w:rsid w:val="004131ED"/>
    <w:rsid w:val="00413477"/>
    <w:rsid w:val="0041607B"/>
    <w:rsid w:val="00416530"/>
    <w:rsid w:val="004171AC"/>
    <w:rsid w:val="00417565"/>
    <w:rsid w:val="00420CE5"/>
    <w:rsid w:val="00420E9F"/>
    <w:rsid w:val="00421177"/>
    <w:rsid w:val="00421A0C"/>
    <w:rsid w:val="00421C02"/>
    <w:rsid w:val="004223A0"/>
    <w:rsid w:val="00422811"/>
    <w:rsid w:val="004233D2"/>
    <w:rsid w:val="00425103"/>
    <w:rsid w:val="004257F3"/>
    <w:rsid w:val="00425A6F"/>
    <w:rsid w:val="00426D7F"/>
    <w:rsid w:val="00426EB2"/>
    <w:rsid w:val="00426FD9"/>
    <w:rsid w:val="00430884"/>
    <w:rsid w:val="00430E54"/>
    <w:rsid w:val="004316B0"/>
    <w:rsid w:val="00433178"/>
    <w:rsid w:val="00436C2D"/>
    <w:rsid w:val="00437A53"/>
    <w:rsid w:val="00440F52"/>
    <w:rsid w:val="00442031"/>
    <w:rsid w:val="0044205C"/>
    <w:rsid w:val="00442518"/>
    <w:rsid w:val="004427EC"/>
    <w:rsid w:val="004430E6"/>
    <w:rsid w:val="00443354"/>
    <w:rsid w:val="00443F2C"/>
    <w:rsid w:val="004463B6"/>
    <w:rsid w:val="004463E3"/>
    <w:rsid w:val="004470AE"/>
    <w:rsid w:val="00447E28"/>
    <w:rsid w:val="004504AD"/>
    <w:rsid w:val="00450561"/>
    <w:rsid w:val="0045159D"/>
    <w:rsid w:val="00451B43"/>
    <w:rsid w:val="00451D9A"/>
    <w:rsid w:val="00454031"/>
    <w:rsid w:val="004562E7"/>
    <w:rsid w:val="004574A6"/>
    <w:rsid w:val="00457C20"/>
    <w:rsid w:val="00457EB4"/>
    <w:rsid w:val="004600BE"/>
    <w:rsid w:val="00460588"/>
    <w:rsid w:val="004608A9"/>
    <w:rsid w:val="00461296"/>
    <w:rsid w:val="004638BF"/>
    <w:rsid w:val="004639F6"/>
    <w:rsid w:val="00463E01"/>
    <w:rsid w:val="004661D5"/>
    <w:rsid w:val="004667D5"/>
    <w:rsid w:val="004667FB"/>
    <w:rsid w:val="00466E4D"/>
    <w:rsid w:val="00467C5D"/>
    <w:rsid w:val="00470D5C"/>
    <w:rsid w:val="0047184E"/>
    <w:rsid w:val="00471A1A"/>
    <w:rsid w:val="00471BEE"/>
    <w:rsid w:val="00471C7D"/>
    <w:rsid w:val="00471F50"/>
    <w:rsid w:val="00472DCA"/>
    <w:rsid w:val="00472EF7"/>
    <w:rsid w:val="0047315E"/>
    <w:rsid w:val="00473B08"/>
    <w:rsid w:val="0047587E"/>
    <w:rsid w:val="0047674D"/>
    <w:rsid w:val="0048086E"/>
    <w:rsid w:val="00480C19"/>
    <w:rsid w:val="00483601"/>
    <w:rsid w:val="004846C2"/>
    <w:rsid w:val="00484FE5"/>
    <w:rsid w:val="00485D79"/>
    <w:rsid w:val="00490812"/>
    <w:rsid w:val="00490E2F"/>
    <w:rsid w:val="004913DF"/>
    <w:rsid w:val="00491422"/>
    <w:rsid w:val="00492C2C"/>
    <w:rsid w:val="0049395F"/>
    <w:rsid w:val="00494400"/>
    <w:rsid w:val="00494946"/>
    <w:rsid w:val="004958BA"/>
    <w:rsid w:val="0049616C"/>
    <w:rsid w:val="004964C9"/>
    <w:rsid w:val="00496DFE"/>
    <w:rsid w:val="004A10FD"/>
    <w:rsid w:val="004A1588"/>
    <w:rsid w:val="004A1636"/>
    <w:rsid w:val="004A1B59"/>
    <w:rsid w:val="004A2F1D"/>
    <w:rsid w:val="004A4C07"/>
    <w:rsid w:val="004A59C1"/>
    <w:rsid w:val="004B2EBE"/>
    <w:rsid w:val="004B3F4D"/>
    <w:rsid w:val="004B63BC"/>
    <w:rsid w:val="004B6897"/>
    <w:rsid w:val="004B6A85"/>
    <w:rsid w:val="004B6F60"/>
    <w:rsid w:val="004B71F2"/>
    <w:rsid w:val="004B724C"/>
    <w:rsid w:val="004C015D"/>
    <w:rsid w:val="004C228A"/>
    <w:rsid w:val="004C255C"/>
    <w:rsid w:val="004C28E8"/>
    <w:rsid w:val="004C29B0"/>
    <w:rsid w:val="004C3079"/>
    <w:rsid w:val="004C3D1A"/>
    <w:rsid w:val="004C4753"/>
    <w:rsid w:val="004C4DDD"/>
    <w:rsid w:val="004C5509"/>
    <w:rsid w:val="004C563C"/>
    <w:rsid w:val="004C5EB8"/>
    <w:rsid w:val="004C7D20"/>
    <w:rsid w:val="004D0535"/>
    <w:rsid w:val="004D17A5"/>
    <w:rsid w:val="004D1B9F"/>
    <w:rsid w:val="004D1C43"/>
    <w:rsid w:val="004D1D23"/>
    <w:rsid w:val="004D1D36"/>
    <w:rsid w:val="004D27DA"/>
    <w:rsid w:val="004D34E6"/>
    <w:rsid w:val="004D440C"/>
    <w:rsid w:val="004D5A69"/>
    <w:rsid w:val="004D5CAF"/>
    <w:rsid w:val="004D614D"/>
    <w:rsid w:val="004D61C7"/>
    <w:rsid w:val="004D644D"/>
    <w:rsid w:val="004D68A7"/>
    <w:rsid w:val="004D74AA"/>
    <w:rsid w:val="004E0C94"/>
    <w:rsid w:val="004E0EB5"/>
    <w:rsid w:val="004E4163"/>
    <w:rsid w:val="004E4CBF"/>
    <w:rsid w:val="004E710A"/>
    <w:rsid w:val="004E7502"/>
    <w:rsid w:val="004F065F"/>
    <w:rsid w:val="004F093D"/>
    <w:rsid w:val="004F388E"/>
    <w:rsid w:val="004F3BAA"/>
    <w:rsid w:val="004F42BE"/>
    <w:rsid w:val="004F4CA5"/>
    <w:rsid w:val="004F678F"/>
    <w:rsid w:val="004F6EF8"/>
    <w:rsid w:val="005017A2"/>
    <w:rsid w:val="005026E4"/>
    <w:rsid w:val="00502880"/>
    <w:rsid w:val="00502AC6"/>
    <w:rsid w:val="00502DCC"/>
    <w:rsid w:val="0050461D"/>
    <w:rsid w:val="00504C5D"/>
    <w:rsid w:val="00505FE6"/>
    <w:rsid w:val="005061DF"/>
    <w:rsid w:val="0050731C"/>
    <w:rsid w:val="005078FF"/>
    <w:rsid w:val="00510045"/>
    <w:rsid w:val="005103D4"/>
    <w:rsid w:val="00511629"/>
    <w:rsid w:val="0051342B"/>
    <w:rsid w:val="005138A4"/>
    <w:rsid w:val="00513FD6"/>
    <w:rsid w:val="005150CA"/>
    <w:rsid w:val="005156E3"/>
    <w:rsid w:val="005163EF"/>
    <w:rsid w:val="00516D5E"/>
    <w:rsid w:val="00520B58"/>
    <w:rsid w:val="00522B09"/>
    <w:rsid w:val="00522C1A"/>
    <w:rsid w:val="00524551"/>
    <w:rsid w:val="005245B1"/>
    <w:rsid w:val="00524E53"/>
    <w:rsid w:val="00525307"/>
    <w:rsid w:val="00525FE0"/>
    <w:rsid w:val="0053045C"/>
    <w:rsid w:val="00531106"/>
    <w:rsid w:val="0053197A"/>
    <w:rsid w:val="00531D73"/>
    <w:rsid w:val="00532320"/>
    <w:rsid w:val="00532D03"/>
    <w:rsid w:val="00532FB0"/>
    <w:rsid w:val="00534769"/>
    <w:rsid w:val="00534A4F"/>
    <w:rsid w:val="00535B86"/>
    <w:rsid w:val="00535EB0"/>
    <w:rsid w:val="00535F2B"/>
    <w:rsid w:val="0053650D"/>
    <w:rsid w:val="0054026F"/>
    <w:rsid w:val="00540E80"/>
    <w:rsid w:val="00542890"/>
    <w:rsid w:val="00542E18"/>
    <w:rsid w:val="005436AA"/>
    <w:rsid w:val="005439B6"/>
    <w:rsid w:val="00543B2C"/>
    <w:rsid w:val="00543ECB"/>
    <w:rsid w:val="00544C4F"/>
    <w:rsid w:val="005456C3"/>
    <w:rsid w:val="00546796"/>
    <w:rsid w:val="00547078"/>
    <w:rsid w:val="00550680"/>
    <w:rsid w:val="00551087"/>
    <w:rsid w:val="00551275"/>
    <w:rsid w:val="00551673"/>
    <w:rsid w:val="00552B9D"/>
    <w:rsid w:val="00553144"/>
    <w:rsid w:val="0055325B"/>
    <w:rsid w:val="005550FC"/>
    <w:rsid w:val="00556CEE"/>
    <w:rsid w:val="0055759B"/>
    <w:rsid w:val="00561A20"/>
    <w:rsid w:val="00561B4D"/>
    <w:rsid w:val="00561F5C"/>
    <w:rsid w:val="005625AC"/>
    <w:rsid w:val="0056316C"/>
    <w:rsid w:val="00563880"/>
    <w:rsid w:val="0056489C"/>
    <w:rsid w:val="00564EE9"/>
    <w:rsid w:val="00565AFA"/>
    <w:rsid w:val="00565CAA"/>
    <w:rsid w:val="00570E50"/>
    <w:rsid w:val="0057117F"/>
    <w:rsid w:val="00573F9A"/>
    <w:rsid w:val="005745C4"/>
    <w:rsid w:val="005754C0"/>
    <w:rsid w:val="00575C96"/>
    <w:rsid w:val="005772B6"/>
    <w:rsid w:val="0058070B"/>
    <w:rsid w:val="00580A8D"/>
    <w:rsid w:val="00580B7D"/>
    <w:rsid w:val="00580DCB"/>
    <w:rsid w:val="0058108B"/>
    <w:rsid w:val="005824D3"/>
    <w:rsid w:val="00583153"/>
    <w:rsid w:val="005836BE"/>
    <w:rsid w:val="00583A24"/>
    <w:rsid w:val="00584227"/>
    <w:rsid w:val="00585514"/>
    <w:rsid w:val="00585698"/>
    <w:rsid w:val="005863C3"/>
    <w:rsid w:val="00586EE0"/>
    <w:rsid w:val="00587CFB"/>
    <w:rsid w:val="00590154"/>
    <w:rsid w:val="00590768"/>
    <w:rsid w:val="00590906"/>
    <w:rsid w:val="00590B55"/>
    <w:rsid w:val="00590BC7"/>
    <w:rsid w:val="00590D5F"/>
    <w:rsid w:val="00591DCA"/>
    <w:rsid w:val="0059223B"/>
    <w:rsid w:val="00592986"/>
    <w:rsid w:val="00592D36"/>
    <w:rsid w:val="00592EEC"/>
    <w:rsid w:val="00593C95"/>
    <w:rsid w:val="00594BB6"/>
    <w:rsid w:val="00594C4D"/>
    <w:rsid w:val="0059551D"/>
    <w:rsid w:val="00595834"/>
    <w:rsid w:val="00595B36"/>
    <w:rsid w:val="005969EA"/>
    <w:rsid w:val="00596ACF"/>
    <w:rsid w:val="005972E7"/>
    <w:rsid w:val="0059795A"/>
    <w:rsid w:val="00597D2F"/>
    <w:rsid w:val="00597EDA"/>
    <w:rsid w:val="005A1873"/>
    <w:rsid w:val="005A25C4"/>
    <w:rsid w:val="005A3A0B"/>
    <w:rsid w:val="005A4D52"/>
    <w:rsid w:val="005A556B"/>
    <w:rsid w:val="005A5AA2"/>
    <w:rsid w:val="005A693B"/>
    <w:rsid w:val="005B0987"/>
    <w:rsid w:val="005B13F8"/>
    <w:rsid w:val="005B1AB5"/>
    <w:rsid w:val="005B1CE1"/>
    <w:rsid w:val="005B264C"/>
    <w:rsid w:val="005B32C7"/>
    <w:rsid w:val="005B3A80"/>
    <w:rsid w:val="005B50FE"/>
    <w:rsid w:val="005B67BD"/>
    <w:rsid w:val="005B6AFC"/>
    <w:rsid w:val="005B7173"/>
    <w:rsid w:val="005C144E"/>
    <w:rsid w:val="005C2F59"/>
    <w:rsid w:val="005C30CC"/>
    <w:rsid w:val="005C3873"/>
    <w:rsid w:val="005D0181"/>
    <w:rsid w:val="005D0A6E"/>
    <w:rsid w:val="005D0BA0"/>
    <w:rsid w:val="005D1557"/>
    <w:rsid w:val="005D1FE9"/>
    <w:rsid w:val="005D320D"/>
    <w:rsid w:val="005D45E5"/>
    <w:rsid w:val="005D4BDE"/>
    <w:rsid w:val="005D5E23"/>
    <w:rsid w:val="005D6131"/>
    <w:rsid w:val="005D6E92"/>
    <w:rsid w:val="005D6EA0"/>
    <w:rsid w:val="005D7397"/>
    <w:rsid w:val="005D7FFE"/>
    <w:rsid w:val="005E0979"/>
    <w:rsid w:val="005E0E4C"/>
    <w:rsid w:val="005E176E"/>
    <w:rsid w:val="005E2013"/>
    <w:rsid w:val="005E32C4"/>
    <w:rsid w:val="005E35E3"/>
    <w:rsid w:val="005E6FDB"/>
    <w:rsid w:val="005E7163"/>
    <w:rsid w:val="005E718F"/>
    <w:rsid w:val="005F1A83"/>
    <w:rsid w:val="005F2149"/>
    <w:rsid w:val="005F2FFD"/>
    <w:rsid w:val="005F399E"/>
    <w:rsid w:val="005F47F2"/>
    <w:rsid w:val="005F65A8"/>
    <w:rsid w:val="005F689C"/>
    <w:rsid w:val="005F68EF"/>
    <w:rsid w:val="005F7070"/>
    <w:rsid w:val="005F7E7D"/>
    <w:rsid w:val="00600C59"/>
    <w:rsid w:val="00601214"/>
    <w:rsid w:val="00601C3F"/>
    <w:rsid w:val="00601EFE"/>
    <w:rsid w:val="00603045"/>
    <w:rsid w:val="00604E9B"/>
    <w:rsid w:val="006051C5"/>
    <w:rsid w:val="00606091"/>
    <w:rsid w:val="006065D5"/>
    <w:rsid w:val="006070EF"/>
    <w:rsid w:val="006077B0"/>
    <w:rsid w:val="00607D09"/>
    <w:rsid w:val="00607EBE"/>
    <w:rsid w:val="00607EEA"/>
    <w:rsid w:val="00610B50"/>
    <w:rsid w:val="00611786"/>
    <w:rsid w:val="00612277"/>
    <w:rsid w:val="00612318"/>
    <w:rsid w:val="0061396C"/>
    <w:rsid w:val="00613F1D"/>
    <w:rsid w:val="00613FC6"/>
    <w:rsid w:val="006149C7"/>
    <w:rsid w:val="006173BA"/>
    <w:rsid w:val="00620947"/>
    <w:rsid w:val="00620F45"/>
    <w:rsid w:val="00620F79"/>
    <w:rsid w:val="00621BE2"/>
    <w:rsid w:val="006229C6"/>
    <w:rsid w:val="00623861"/>
    <w:rsid w:val="00623AA9"/>
    <w:rsid w:val="00623EBB"/>
    <w:rsid w:val="00624FD2"/>
    <w:rsid w:val="006262AA"/>
    <w:rsid w:val="006263E8"/>
    <w:rsid w:val="006323FE"/>
    <w:rsid w:val="00632ECE"/>
    <w:rsid w:val="00636121"/>
    <w:rsid w:val="0063657B"/>
    <w:rsid w:val="00640C05"/>
    <w:rsid w:val="006424C5"/>
    <w:rsid w:val="0064310F"/>
    <w:rsid w:val="0064313C"/>
    <w:rsid w:val="006438EA"/>
    <w:rsid w:val="006441CA"/>
    <w:rsid w:val="00644570"/>
    <w:rsid w:val="006450B1"/>
    <w:rsid w:val="00645D3D"/>
    <w:rsid w:val="00645FDD"/>
    <w:rsid w:val="006465C7"/>
    <w:rsid w:val="00647433"/>
    <w:rsid w:val="00650377"/>
    <w:rsid w:val="006509E8"/>
    <w:rsid w:val="00651FB5"/>
    <w:rsid w:val="006525EF"/>
    <w:rsid w:val="00652851"/>
    <w:rsid w:val="00654AA1"/>
    <w:rsid w:val="006554DC"/>
    <w:rsid w:val="00655743"/>
    <w:rsid w:val="006609E7"/>
    <w:rsid w:val="00660E11"/>
    <w:rsid w:val="00661053"/>
    <w:rsid w:val="00661201"/>
    <w:rsid w:val="00662923"/>
    <w:rsid w:val="006631B1"/>
    <w:rsid w:val="0066392D"/>
    <w:rsid w:val="00663CB0"/>
    <w:rsid w:val="0066442E"/>
    <w:rsid w:val="006653CD"/>
    <w:rsid w:val="006654A4"/>
    <w:rsid w:val="0066593A"/>
    <w:rsid w:val="0066656C"/>
    <w:rsid w:val="006722E2"/>
    <w:rsid w:val="006737C5"/>
    <w:rsid w:val="00674D13"/>
    <w:rsid w:val="00675526"/>
    <w:rsid w:val="00676137"/>
    <w:rsid w:val="00677ADF"/>
    <w:rsid w:val="006803A3"/>
    <w:rsid w:val="00680492"/>
    <w:rsid w:val="00680635"/>
    <w:rsid w:val="00680BA0"/>
    <w:rsid w:val="00680DB8"/>
    <w:rsid w:val="006810FE"/>
    <w:rsid w:val="0068133E"/>
    <w:rsid w:val="00681863"/>
    <w:rsid w:val="00682676"/>
    <w:rsid w:val="00684102"/>
    <w:rsid w:val="00684B03"/>
    <w:rsid w:val="00684F94"/>
    <w:rsid w:val="00685528"/>
    <w:rsid w:val="00685630"/>
    <w:rsid w:val="006867A5"/>
    <w:rsid w:val="00686F34"/>
    <w:rsid w:val="00687035"/>
    <w:rsid w:val="006870FB"/>
    <w:rsid w:val="0068747F"/>
    <w:rsid w:val="006874F7"/>
    <w:rsid w:val="00690EE2"/>
    <w:rsid w:val="0069113A"/>
    <w:rsid w:val="00691B89"/>
    <w:rsid w:val="00692CDF"/>
    <w:rsid w:val="0069396C"/>
    <w:rsid w:val="006944E9"/>
    <w:rsid w:val="006946C3"/>
    <w:rsid w:val="00694BC9"/>
    <w:rsid w:val="00695AC5"/>
    <w:rsid w:val="006976E8"/>
    <w:rsid w:val="006A0DFA"/>
    <w:rsid w:val="006A0E71"/>
    <w:rsid w:val="006A19B3"/>
    <w:rsid w:val="006A2363"/>
    <w:rsid w:val="006A2CB5"/>
    <w:rsid w:val="006A352A"/>
    <w:rsid w:val="006A3705"/>
    <w:rsid w:val="006A481E"/>
    <w:rsid w:val="006A5EAD"/>
    <w:rsid w:val="006B0994"/>
    <w:rsid w:val="006B12E1"/>
    <w:rsid w:val="006B1DC2"/>
    <w:rsid w:val="006B1DF0"/>
    <w:rsid w:val="006B4022"/>
    <w:rsid w:val="006B6586"/>
    <w:rsid w:val="006B70F6"/>
    <w:rsid w:val="006B79E4"/>
    <w:rsid w:val="006C00DE"/>
    <w:rsid w:val="006C290A"/>
    <w:rsid w:val="006C452B"/>
    <w:rsid w:val="006C46A6"/>
    <w:rsid w:val="006C4A1F"/>
    <w:rsid w:val="006C5D5D"/>
    <w:rsid w:val="006C6492"/>
    <w:rsid w:val="006C6509"/>
    <w:rsid w:val="006C778B"/>
    <w:rsid w:val="006D006A"/>
    <w:rsid w:val="006D010F"/>
    <w:rsid w:val="006D0EDC"/>
    <w:rsid w:val="006D2C90"/>
    <w:rsid w:val="006D3F1D"/>
    <w:rsid w:val="006D402F"/>
    <w:rsid w:val="006D734F"/>
    <w:rsid w:val="006D7687"/>
    <w:rsid w:val="006D7C9B"/>
    <w:rsid w:val="006E0581"/>
    <w:rsid w:val="006E076C"/>
    <w:rsid w:val="006E17FC"/>
    <w:rsid w:val="006E19ED"/>
    <w:rsid w:val="006E1EFC"/>
    <w:rsid w:val="006E237B"/>
    <w:rsid w:val="006E2E31"/>
    <w:rsid w:val="006E3088"/>
    <w:rsid w:val="006E35B3"/>
    <w:rsid w:val="006E49CE"/>
    <w:rsid w:val="006E6E82"/>
    <w:rsid w:val="006E6F3B"/>
    <w:rsid w:val="006E7BB0"/>
    <w:rsid w:val="006E7E3C"/>
    <w:rsid w:val="006F0DF3"/>
    <w:rsid w:val="006F1828"/>
    <w:rsid w:val="006F1A40"/>
    <w:rsid w:val="006F1A8F"/>
    <w:rsid w:val="006F26FF"/>
    <w:rsid w:val="006F422A"/>
    <w:rsid w:val="006F47D4"/>
    <w:rsid w:val="006F4DFC"/>
    <w:rsid w:val="006F54FC"/>
    <w:rsid w:val="006F579B"/>
    <w:rsid w:val="006F5833"/>
    <w:rsid w:val="006F6501"/>
    <w:rsid w:val="00700071"/>
    <w:rsid w:val="007007AC"/>
    <w:rsid w:val="00702589"/>
    <w:rsid w:val="00702A95"/>
    <w:rsid w:val="00703E5F"/>
    <w:rsid w:val="0070516B"/>
    <w:rsid w:val="007058C1"/>
    <w:rsid w:val="007063C3"/>
    <w:rsid w:val="00707458"/>
    <w:rsid w:val="0070791D"/>
    <w:rsid w:val="00707F37"/>
    <w:rsid w:val="0071021F"/>
    <w:rsid w:val="00711278"/>
    <w:rsid w:val="007116E1"/>
    <w:rsid w:val="007165A6"/>
    <w:rsid w:val="00716666"/>
    <w:rsid w:val="007167A4"/>
    <w:rsid w:val="00717447"/>
    <w:rsid w:val="00717977"/>
    <w:rsid w:val="00717A75"/>
    <w:rsid w:val="00721A70"/>
    <w:rsid w:val="00721C39"/>
    <w:rsid w:val="00721E17"/>
    <w:rsid w:val="00722378"/>
    <w:rsid w:val="00724202"/>
    <w:rsid w:val="0072585A"/>
    <w:rsid w:val="007262D9"/>
    <w:rsid w:val="007273CC"/>
    <w:rsid w:val="00727B4B"/>
    <w:rsid w:val="00731FDF"/>
    <w:rsid w:val="00732658"/>
    <w:rsid w:val="00733594"/>
    <w:rsid w:val="007344DF"/>
    <w:rsid w:val="00734685"/>
    <w:rsid w:val="00734A1E"/>
    <w:rsid w:val="00737424"/>
    <w:rsid w:val="00737C7C"/>
    <w:rsid w:val="00737DDA"/>
    <w:rsid w:val="007408D2"/>
    <w:rsid w:val="0074103D"/>
    <w:rsid w:val="00743691"/>
    <w:rsid w:val="00743922"/>
    <w:rsid w:val="00743BDF"/>
    <w:rsid w:val="00744871"/>
    <w:rsid w:val="007469D8"/>
    <w:rsid w:val="00746DA0"/>
    <w:rsid w:val="0074732E"/>
    <w:rsid w:val="007475CA"/>
    <w:rsid w:val="0075012D"/>
    <w:rsid w:val="00750A58"/>
    <w:rsid w:val="00751D38"/>
    <w:rsid w:val="0075284E"/>
    <w:rsid w:val="0075623F"/>
    <w:rsid w:val="00757728"/>
    <w:rsid w:val="00757CAA"/>
    <w:rsid w:val="00757E1E"/>
    <w:rsid w:val="007606BC"/>
    <w:rsid w:val="00760790"/>
    <w:rsid w:val="00761050"/>
    <w:rsid w:val="00761396"/>
    <w:rsid w:val="007614B5"/>
    <w:rsid w:val="0076441D"/>
    <w:rsid w:val="00764AF3"/>
    <w:rsid w:val="007661C7"/>
    <w:rsid w:val="00766223"/>
    <w:rsid w:val="00767409"/>
    <w:rsid w:val="00770512"/>
    <w:rsid w:val="007711B2"/>
    <w:rsid w:val="00771346"/>
    <w:rsid w:val="00771638"/>
    <w:rsid w:val="007718AC"/>
    <w:rsid w:val="00771A0B"/>
    <w:rsid w:val="00771B75"/>
    <w:rsid w:val="007732BA"/>
    <w:rsid w:val="00773A6E"/>
    <w:rsid w:val="00775739"/>
    <w:rsid w:val="007759D4"/>
    <w:rsid w:val="00777A72"/>
    <w:rsid w:val="007805AA"/>
    <w:rsid w:val="00780C43"/>
    <w:rsid w:val="0078114A"/>
    <w:rsid w:val="0078293C"/>
    <w:rsid w:val="007832C4"/>
    <w:rsid w:val="00783A1D"/>
    <w:rsid w:val="007841DA"/>
    <w:rsid w:val="007849F2"/>
    <w:rsid w:val="0078580A"/>
    <w:rsid w:val="00785D92"/>
    <w:rsid w:val="007870FA"/>
    <w:rsid w:val="007872CF"/>
    <w:rsid w:val="0078796B"/>
    <w:rsid w:val="00787B68"/>
    <w:rsid w:val="007908FE"/>
    <w:rsid w:val="007926A3"/>
    <w:rsid w:val="007928DE"/>
    <w:rsid w:val="00792C0E"/>
    <w:rsid w:val="00792E58"/>
    <w:rsid w:val="007931AA"/>
    <w:rsid w:val="0079365E"/>
    <w:rsid w:val="00793872"/>
    <w:rsid w:val="007946F7"/>
    <w:rsid w:val="00794CB3"/>
    <w:rsid w:val="007956BC"/>
    <w:rsid w:val="00796481"/>
    <w:rsid w:val="00796835"/>
    <w:rsid w:val="0079699C"/>
    <w:rsid w:val="00797991"/>
    <w:rsid w:val="007A27AA"/>
    <w:rsid w:val="007A37A6"/>
    <w:rsid w:val="007A4809"/>
    <w:rsid w:val="007A6869"/>
    <w:rsid w:val="007A7629"/>
    <w:rsid w:val="007A7A02"/>
    <w:rsid w:val="007A7E2E"/>
    <w:rsid w:val="007B126E"/>
    <w:rsid w:val="007B19C8"/>
    <w:rsid w:val="007B1A18"/>
    <w:rsid w:val="007B2F4E"/>
    <w:rsid w:val="007B400E"/>
    <w:rsid w:val="007B4046"/>
    <w:rsid w:val="007B5276"/>
    <w:rsid w:val="007B593A"/>
    <w:rsid w:val="007B68C5"/>
    <w:rsid w:val="007C068D"/>
    <w:rsid w:val="007C0EF3"/>
    <w:rsid w:val="007C4293"/>
    <w:rsid w:val="007C5216"/>
    <w:rsid w:val="007C5533"/>
    <w:rsid w:val="007C6B09"/>
    <w:rsid w:val="007C6E0E"/>
    <w:rsid w:val="007D3B63"/>
    <w:rsid w:val="007D4BDC"/>
    <w:rsid w:val="007D4CEC"/>
    <w:rsid w:val="007D4D6E"/>
    <w:rsid w:val="007D5DD6"/>
    <w:rsid w:val="007D6A16"/>
    <w:rsid w:val="007D73D2"/>
    <w:rsid w:val="007D7557"/>
    <w:rsid w:val="007D7C68"/>
    <w:rsid w:val="007D7E93"/>
    <w:rsid w:val="007E0724"/>
    <w:rsid w:val="007E0A45"/>
    <w:rsid w:val="007E1BB2"/>
    <w:rsid w:val="007E330C"/>
    <w:rsid w:val="007E4162"/>
    <w:rsid w:val="007E4BEB"/>
    <w:rsid w:val="007E68A2"/>
    <w:rsid w:val="007E6EF1"/>
    <w:rsid w:val="007E7F3B"/>
    <w:rsid w:val="007F00E0"/>
    <w:rsid w:val="007F0122"/>
    <w:rsid w:val="007F072C"/>
    <w:rsid w:val="007F0CF5"/>
    <w:rsid w:val="007F1357"/>
    <w:rsid w:val="007F167E"/>
    <w:rsid w:val="007F2A32"/>
    <w:rsid w:val="007F2B5E"/>
    <w:rsid w:val="007F389B"/>
    <w:rsid w:val="007F46DE"/>
    <w:rsid w:val="007F48AB"/>
    <w:rsid w:val="007F54DB"/>
    <w:rsid w:val="007F5CB9"/>
    <w:rsid w:val="007F7A42"/>
    <w:rsid w:val="0080010F"/>
    <w:rsid w:val="008008A1"/>
    <w:rsid w:val="00800A34"/>
    <w:rsid w:val="00800C7A"/>
    <w:rsid w:val="00801A06"/>
    <w:rsid w:val="00801CB8"/>
    <w:rsid w:val="00802B4A"/>
    <w:rsid w:val="00803698"/>
    <w:rsid w:val="008037E2"/>
    <w:rsid w:val="00804115"/>
    <w:rsid w:val="00804BA3"/>
    <w:rsid w:val="00805713"/>
    <w:rsid w:val="0080619D"/>
    <w:rsid w:val="00806BB0"/>
    <w:rsid w:val="00810E09"/>
    <w:rsid w:val="00811715"/>
    <w:rsid w:val="008120C9"/>
    <w:rsid w:val="0081212A"/>
    <w:rsid w:val="00812647"/>
    <w:rsid w:val="0081343F"/>
    <w:rsid w:val="008137CA"/>
    <w:rsid w:val="008143D8"/>
    <w:rsid w:val="00815934"/>
    <w:rsid w:val="00816917"/>
    <w:rsid w:val="008213D9"/>
    <w:rsid w:val="0082269E"/>
    <w:rsid w:val="00823306"/>
    <w:rsid w:val="008236FD"/>
    <w:rsid w:val="008237A5"/>
    <w:rsid w:val="00824A58"/>
    <w:rsid w:val="008252E2"/>
    <w:rsid w:val="008255E0"/>
    <w:rsid w:val="008265F0"/>
    <w:rsid w:val="0082682A"/>
    <w:rsid w:val="00827AE2"/>
    <w:rsid w:val="00827E62"/>
    <w:rsid w:val="00830B4F"/>
    <w:rsid w:val="00832302"/>
    <w:rsid w:val="00832EF1"/>
    <w:rsid w:val="008338B0"/>
    <w:rsid w:val="00834299"/>
    <w:rsid w:val="008342A8"/>
    <w:rsid w:val="0083463E"/>
    <w:rsid w:val="00835634"/>
    <w:rsid w:val="00835B2E"/>
    <w:rsid w:val="00835C70"/>
    <w:rsid w:val="00835FC5"/>
    <w:rsid w:val="008372F4"/>
    <w:rsid w:val="0083797B"/>
    <w:rsid w:val="0084056C"/>
    <w:rsid w:val="0084060A"/>
    <w:rsid w:val="00841FBC"/>
    <w:rsid w:val="00842615"/>
    <w:rsid w:val="00844022"/>
    <w:rsid w:val="00844676"/>
    <w:rsid w:val="00845888"/>
    <w:rsid w:val="00847563"/>
    <w:rsid w:val="00847B09"/>
    <w:rsid w:val="00847F2F"/>
    <w:rsid w:val="00850447"/>
    <w:rsid w:val="008509C7"/>
    <w:rsid w:val="00850C2F"/>
    <w:rsid w:val="0085203C"/>
    <w:rsid w:val="00852ECC"/>
    <w:rsid w:val="0085389B"/>
    <w:rsid w:val="0085448B"/>
    <w:rsid w:val="00854B43"/>
    <w:rsid w:val="0085633A"/>
    <w:rsid w:val="00861995"/>
    <w:rsid w:val="00861EF8"/>
    <w:rsid w:val="00863084"/>
    <w:rsid w:val="008637AD"/>
    <w:rsid w:val="00863B70"/>
    <w:rsid w:val="00864DB6"/>
    <w:rsid w:val="00864FFA"/>
    <w:rsid w:val="00865F90"/>
    <w:rsid w:val="008660A7"/>
    <w:rsid w:val="008679BD"/>
    <w:rsid w:val="008723A5"/>
    <w:rsid w:val="008724AA"/>
    <w:rsid w:val="00873E81"/>
    <w:rsid w:val="008747B5"/>
    <w:rsid w:val="00875995"/>
    <w:rsid w:val="008760A3"/>
    <w:rsid w:val="0087653C"/>
    <w:rsid w:val="008766B8"/>
    <w:rsid w:val="00877B48"/>
    <w:rsid w:val="008805D8"/>
    <w:rsid w:val="0088071B"/>
    <w:rsid w:val="008808C0"/>
    <w:rsid w:val="008810D6"/>
    <w:rsid w:val="008812AC"/>
    <w:rsid w:val="008814DB"/>
    <w:rsid w:val="00881548"/>
    <w:rsid w:val="00882014"/>
    <w:rsid w:val="008851BE"/>
    <w:rsid w:val="00885337"/>
    <w:rsid w:val="008866FF"/>
    <w:rsid w:val="00887484"/>
    <w:rsid w:val="00887623"/>
    <w:rsid w:val="00887DC5"/>
    <w:rsid w:val="00890965"/>
    <w:rsid w:val="00890E50"/>
    <w:rsid w:val="00891710"/>
    <w:rsid w:val="008918D2"/>
    <w:rsid w:val="00892219"/>
    <w:rsid w:val="00892274"/>
    <w:rsid w:val="00892328"/>
    <w:rsid w:val="0089311F"/>
    <w:rsid w:val="00893D41"/>
    <w:rsid w:val="00894CBB"/>
    <w:rsid w:val="00894FD5"/>
    <w:rsid w:val="00896E65"/>
    <w:rsid w:val="008972E9"/>
    <w:rsid w:val="00897E84"/>
    <w:rsid w:val="008A007F"/>
    <w:rsid w:val="008A1383"/>
    <w:rsid w:val="008A1565"/>
    <w:rsid w:val="008A289B"/>
    <w:rsid w:val="008A28D4"/>
    <w:rsid w:val="008A290B"/>
    <w:rsid w:val="008A468D"/>
    <w:rsid w:val="008A5019"/>
    <w:rsid w:val="008A61CE"/>
    <w:rsid w:val="008A70D5"/>
    <w:rsid w:val="008A748A"/>
    <w:rsid w:val="008A7F08"/>
    <w:rsid w:val="008A7FD7"/>
    <w:rsid w:val="008A7FF8"/>
    <w:rsid w:val="008B0A9C"/>
    <w:rsid w:val="008B0DE5"/>
    <w:rsid w:val="008B211E"/>
    <w:rsid w:val="008B248C"/>
    <w:rsid w:val="008B2FA6"/>
    <w:rsid w:val="008B3A34"/>
    <w:rsid w:val="008B588E"/>
    <w:rsid w:val="008B61EE"/>
    <w:rsid w:val="008C0DCD"/>
    <w:rsid w:val="008C2239"/>
    <w:rsid w:val="008C3DB6"/>
    <w:rsid w:val="008C78FD"/>
    <w:rsid w:val="008C7BDD"/>
    <w:rsid w:val="008D100C"/>
    <w:rsid w:val="008D22DF"/>
    <w:rsid w:val="008D2788"/>
    <w:rsid w:val="008D3094"/>
    <w:rsid w:val="008D3CB9"/>
    <w:rsid w:val="008D4EDB"/>
    <w:rsid w:val="008D505E"/>
    <w:rsid w:val="008D51B1"/>
    <w:rsid w:val="008D5EB0"/>
    <w:rsid w:val="008D6B4A"/>
    <w:rsid w:val="008D73ED"/>
    <w:rsid w:val="008D786B"/>
    <w:rsid w:val="008E00F2"/>
    <w:rsid w:val="008E0B5D"/>
    <w:rsid w:val="008E1FC2"/>
    <w:rsid w:val="008E2009"/>
    <w:rsid w:val="008E25AA"/>
    <w:rsid w:val="008E459E"/>
    <w:rsid w:val="008E52E5"/>
    <w:rsid w:val="008E63A7"/>
    <w:rsid w:val="008E6995"/>
    <w:rsid w:val="008F0580"/>
    <w:rsid w:val="008F31DC"/>
    <w:rsid w:val="008F3649"/>
    <w:rsid w:val="008F3CBA"/>
    <w:rsid w:val="008F523A"/>
    <w:rsid w:val="008F6A1D"/>
    <w:rsid w:val="008F7A54"/>
    <w:rsid w:val="008F7C3A"/>
    <w:rsid w:val="008F7FCE"/>
    <w:rsid w:val="00900823"/>
    <w:rsid w:val="00900FD7"/>
    <w:rsid w:val="00901E3D"/>
    <w:rsid w:val="00902291"/>
    <w:rsid w:val="00902B8B"/>
    <w:rsid w:val="00902E30"/>
    <w:rsid w:val="009033C8"/>
    <w:rsid w:val="00903E5A"/>
    <w:rsid w:val="0090441A"/>
    <w:rsid w:val="00904DCC"/>
    <w:rsid w:val="00905EAE"/>
    <w:rsid w:val="009066CA"/>
    <w:rsid w:val="00906EBC"/>
    <w:rsid w:val="00907808"/>
    <w:rsid w:val="00907C9B"/>
    <w:rsid w:val="00907D97"/>
    <w:rsid w:val="009101EC"/>
    <w:rsid w:val="00912062"/>
    <w:rsid w:val="0091270B"/>
    <w:rsid w:val="00914AB6"/>
    <w:rsid w:val="0091672D"/>
    <w:rsid w:val="009202F1"/>
    <w:rsid w:val="00920365"/>
    <w:rsid w:val="009210B5"/>
    <w:rsid w:val="009223A5"/>
    <w:rsid w:val="00922A20"/>
    <w:rsid w:val="00922EB0"/>
    <w:rsid w:val="00924DA0"/>
    <w:rsid w:val="009276B7"/>
    <w:rsid w:val="00927745"/>
    <w:rsid w:val="00927B45"/>
    <w:rsid w:val="00930DC2"/>
    <w:rsid w:val="00931A5B"/>
    <w:rsid w:val="00931C92"/>
    <w:rsid w:val="009330B2"/>
    <w:rsid w:val="00933936"/>
    <w:rsid w:val="00934D37"/>
    <w:rsid w:val="00934EB3"/>
    <w:rsid w:val="00935D74"/>
    <w:rsid w:val="00936ECE"/>
    <w:rsid w:val="00937FE3"/>
    <w:rsid w:val="009405BF"/>
    <w:rsid w:val="00940E90"/>
    <w:rsid w:val="00941E38"/>
    <w:rsid w:val="009438AF"/>
    <w:rsid w:val="00943BD0"/>
    <w:rsid w:val="00945485"/>
    <w:rsid w:val="00947106"/>
    <w:rsid w:val="009509EB"/>
    <w:rsid w:val="00950B8F"/>
    <w:rsid w:val="00951F0A"/>
    <w:rsid w:val="00952245"/>
    <w:rsid w:val="00954061"/>
    <w:rsid w:val="00956490"/>
    <w:rsid w:val="00961397"/>
    <w:rsid w:val="00961A27"/>
    <w:rsid w:val="00963B9A"/>
    <w:rsid w:val="00963C78"/>
    <w:rsid w:val="00964161"/>
    <w:rsid w:val="00964607"/>
    <w:rsid w:val="009656CA"/>
    <w:rsid w:val="00965A84"/>
    <w:rsid w:val="00966B1F"/>
    <w:rsid w:val="0096709C"/>
    <w:rsid w:val="0097236F"/>
    <w:rsid w:val="00972D0C"/>
    <w:rsid w:val="0097324E"/>
    <w:rsid w:val="00973E46"/>
    <w:rsid w:val="00974D9B"/>
    <w:rsid w:val="00975661"/>
    <w:rsid w:val="00975AA8"/>
    <w:rsid w:val="0097711E"/>
    <w:rsid w:val="00980753"/>
    <w:rsid w:val="00981D7B"/>
    <w:rsid w:val="009822A8"/>
    <w:rsid w:val="009847D6"/>
    <w:rsid w:val="00984AD8"/>
    <w:rsid w:val="00986DF0"/>
    <w:rsid w:val="0098799F"/>
    <w:rsid w:val="00987B17"/>
    <w:rsid w:val="0099080A"/>
    <w:rsid w:val="009911DF"/>
    <w:rsid w:val="009922DC"/>
    <w:rsid w:val="009924BF"/>
    <w:rsid w:val="009932E9"/>
    <w:rsid w:val="009934D5"/>
    <w:rsid w:val="0099374B"/>
    <w:rsid w:val="0099478F"/>
    <w:rsid w:val="00995F15"/>
    <w:rsid w:val="00995F94"/>
    <w:rsid w:val="00997873"/>
    <w:rsid w:val="009A0F73"/>
    <w:rsid w:val="009A33AF"/>
    <w:rsid w:val="009A3D19"/>
    <w:rsid w:val="009A5360"/>
    <w:rsid w:val="009A6E83"/>
    <w:rsid w:val="009A7C06"/>
    <w:rsid w:val="009B0BC6"/>
    <w:rsid w:val="009B0CE0"/>
    <w:rsid w:val="009B19E4"/>
    <w:rsid w:val="009B2516"/>
    <w:rsid w:val="009B2573"/>
    <w:rsid w:val="009B5157"/>
    <w:rsid w:val="009B54E9"/>
    <w:rsid w:val="009B5C72"/>
    <w:rsid w:val="009B6356"/>
    <w:rsid w:val="009B65D4"/>
    <w:rsid w:val="009B6A32"/>
    <w:rsid w:val="009B7457"/>
    <w:rsid w:val="009B76EE"/>
    <w:rsid w:val="009C0A5C"/>
    <w:rsid w:val="009C1854"/>
    <w:rsid w:val="009C2559"/>
    <w:rsid w:val="009C2A5A"/>
    <w:rsid w:val="009C2B07"/>
    <w:rsid w:val="009C325A"/>
    <w:rsid w:val="009C332D"/>
    <w:rsid w:val="009C3423"/>
    <w:rsid w:val="009C4B14"/>
    <w:rsid w:val="009C5686"/>
    <w:rsid w:val="009C576D"/>
    <w:rsid w:val="009C5E33"/>
    <w:rsid w:val="009C60EE"/>
    <w:rsid w:val="009C6E4A"/>
    <w:rsid w:val="009C7203"/>
    <w:rsid w:val="009D063D"/>
    <w:rsid w:val="009D0E59"/>
    <w:rsid w:val="009D1137"/>
    <w:rsid w:val="009D148B"/>
    <w:rsid w:val="009D2580"/>
    <w:rsid w:val="009D277B"/>
    <w:rsid w:val="009D3394"/>
    <w:rsid w:val="009D35E5"/>
    <w:rsid w:val="009D3D18"/>
    <w:rsid w:val="009D5BE2"/>
    <w:rsid w:val="009D720E"/>
    <w:rsid w:val="009D73E1"/>
    <w:rsid w:val="009D7FEC"/>
    <w:rsid w:val="009E015F"/>
    <w:rsid w:val="009E127E"/>
    <w:rsid w:val="009E1915"/>
    <w:rsid w:val="009E4F68"/>
    <w:rsid w:val="009E549C"/>
    <w:rsid w:val="009E5942"/>
    <w:rsid w:val="009E63AA"/>
    <w:rsid w:val="009E7310"/>
    <w:rsid w:val="009F005D"/>
    <w:rsid w:val="009F0234"/>
    <w:rsid w:val="009F0296"/>
    <w:rsid w:val="009F05C2"/>
    <w:rsid w:val="009F05E8"/>
    <w:rsid w:val="009F06FB"/>
    <w:rsid w:val="009F0ACC"/>
    <w:rsid w:val="009F0E3C"/>
    <w:rsid w:val="009F1E53"/>
    <w:rsid w:val="009F2286"/>
    <w:rsid w:val="009F233E"/>
    <w:rsid w:val="009F3B30"/>
    <w:rsid w:val="009F53AE"/>
    <w:rsid w:val="009F5EAE"/>
    <w:rsid w:val="009F686D"/>
    <w:rsid w:val="009F74E9"/>
    <w:rsid w:val="009F7B12"/>
    <w:rsid w:val="009F7F12"/>
    <w:rsid w:val="00A00750"/>
    <w:rsid w:val="00A01CBB"/>
    <w:rsid w:val="00A029CC"/>
    <w:rsid w:val="00A032A8"/>
    <w:rsid w:val="00A03E01"/>
    <w:rsid w:val="00A04FCF"/>
    <w:rsid w:val="00A05534"/>
    <w:rsid w:val="00A05CEE"/>
    <w:rsid w:val="00A061EA"/>
    <w:rsid w:val="00A1152A"/>
    <w:rsid w:val="00A126B7"/>
    <w:rsid w:val="00A126D1"/>
    <w:rsid w:val="00A13922"/>
    <w:rsid w:val="00A15359"/>
    <w:rsid w:val="00A15920"/>
    <w:rsid w:val="00A16391"/>
    <w:rsid w:val="00A16DA8"/>
    <w:rsid w:val="00A16F26"/>
    <w:rsid w:val="00A1746E"/>
    <w:rsid w:val="00A17F2F"/>
    <w:rsid w:val="00A202F4"/>
    <w:rsid w:val="00A20CC9"/>
    <w:rsid w:val="00A22593"/>
    <w:rsid w:val="00A23982"/>
    <w:rsid w:val="00A257A8"/>
    <w:rsid w:val="00A25906"/>
    <w:rsid w:val="00A27719"/>
    <w:rsid w:val="00A31B01"/>
    <w:rsid w:val="00A3284E"/>
    <w:rsid w:val="00A339E1"/>
    <w:rsid w:val="00A33DB0"/>
    <w:rsid w:val="00A33F17"/>
    <w:rsid w:val="00A3437C"/>
    <w:rsid w:val="00A35228"/>
    <w:rsid w:val="00A358B8"/>
    <w:rsid w:val="00A35A6D"/>
    <w:rsid w:val="00A35BC4"/>
    <w:rsid w:val="00A35EE1"/>
    <w:rsid w:val="00A36511"/>
    <w:rsid w:val="00A36FCC"/>
    <w:rsid w:val="00A37F88"/>
    <w:rsid w:val="00A407B4"/>
    <w:rsid w:val="00A40F4A"/>
    <w:rsid w:val="00A419CF"/>
    <w:rsid w:val="00A42610"/>
    <w:rsid w:val="00A428DB"/>
    <w:rsid w:val="00A42A21"/>
    <w:rsid w:val="00A42F8B"/>
    <w:rsid w:val="00A43EF3"/>
    <w:rsid w:val="00A44070"/>
    <w:rsid w:val="00A44C59"/>
    <w:rsid w:val="00A45953"/>
    <w:rsid w:val="00A463A4"/>
    <w:rsid w:val="00A46BE4"/>
    <w:rsid w:val="00A478C2"/>
    <w:rsid w:val="00A504BB"/>
    <w:rsid w:val="00A50C12"/>
    <w:rsid w:val="00A51DF5"/>
    <w:rsid w:val="00A5294F"/>
    <w:rsid w:val="00A53CB0"/>
    <w:rsid w:val="00A54510"/>
    <w:rsid w:val="00A55E7C"/>
    <w:rsid w:val="00A57DEB"/>
    <w:rsid w:val="00A629AD"/>
    <w:rsid w:val="00A62CC5"/>
    <w:rsid w:val="00A632EC"/>
    <w:rsid w:val="00A63363"/>
    <w:rsid w:val="00A63976"/>
    <w:rsid w:val="00A64647"/>
    <w:rsid w:val="00A64CD4"/>
    <w:rsid w:val="00A6544C"/>
    <w:rsid w:val="00A674F0"/>
    <w:rsid w:val="00A679EC"/>
    <w:rsid w:val="00A72D03"/>
    <w:rsid w:val="00A73506"/>
    <w:rsid w:val="00A73906"/>
    <w:rsid w:val="00A73B80"/>
    <w:rsid w:val="00A74CCD"/>
    <w:rsid w:val="00A75C6A"/>
    <w:rsid w:val="00A75E1A"/>
    <w:rsid w:val="00A760D8"/>
    <w:rsid w:val="00A76213"/>
    <w:rsid w:val="00A76652"/>
    <w:rsid w:val="00A76FB7"/>
    <w:rsid w:val="00A771CB"/>
    <w:rsid w:val="00A77926"/>
    <w:rsid w:val="00A82D98"/>
    <w:rsid w:val="00A83121"/>
    <w:rsid w:val="00A832E6"/>
    <w:rsid w:val="00A83C79"/>
    <w:rsid w:val="00A841C6"/>
    <w:rsid w:val="00A846C3"/>
    <w:rsid w:val="00A84A14"/>
    <w:rsid w:val="00A851F6"/>
    <w:rsid w:val="00A9028E"/>
    <w:rsid w:val="00A902C8"/>
    <w:rsid w:val="00A9232E"/>
    <w:rsid w:val="00A9494E"/>
    <w:rsid w:val="00A95355"/>
    <w:rsid w:val="00A968A9"/>
    <w:rsid w:val="00A979DA"/>
    <w:rsid w:val="00A97A39"/>
    <w:rsid w:val="00AA3713"/>
    <w:rsid w:val="00AA5666"/>
    <w:rsid w:val="00AA56D9"/>
    <w:rsid w:val="00AA7500"/>
    <w:rsid w:val="00AB0A4A"/>
    <w:rsid w:val="00AB1649"/>
    <w:rsid w:val="00AB19C4"/>
    <w:rsid w:val="00AB47BA"/>
    <w:rsid w:val="00AB51D3"/>
    <w:rsid w:val="00AB5427"/>
    <w:rsid w:val="00AB5D28"/>
    <w:rsid w:val="00AB61E0"/>
    <w:rsid w:val="00AB676F"/>
    <w:rsid w:val="00AB784E"/>
    <w:rsid w:val="00AC3E0B"/>
    <w:rsid w:val="00AC41B9"/>
    <w:rsid w:val="00AC465A"/>
    <w:rsid w:val="00AC5CB1"/>
    <w:rsid w:val="00AC6B6B"/>
    <w:rsid w:val="00AC6C0D"/>
    <w:rsid w:val="00AD0192"/>
    <w:rsid w:val="00AD01AE"/>
    <w:rsid w:val="00AD0484"/>
    <w:rsid w:val="00AD06CA"/>
    <w:rsid w:val="00AD071E"/>
    <w:rsid w:val="00AD0803"/>
    <w:rsid w:val="00AD09EC"/>
    <w:rsid w:val="00AD0FD4"/>
    <w:rsid w:val="00AD1A6C"/>
    <w:rsid w:val="00AD2DFD"/>
    <w:rsid w:val="00AD3B52"/>
    <w:rsid w:val="00AD6F46"/>
    <w:rsid w:val="00AE077E"/>
    <w:rsid w:val="00AE0C4B"/>
    <w:rsid w:val="00AE0D7F"/>
    <w:rsid w:val="00AE10B3"/>
    <w:rsid w:val="00AE1360"/>
    <w:rsid w:val="00AE1BDC"/>
    <w:rsid w:val="00AE21BD"/>
    <w:rsid w:val="00AE2209"/>
    <w:rsid w:val="00AE2B9E"/>
    <w:rsid w:val="00AE55A3"/>
    <w:rsid w:val="00AE5D06"/>
    <w:rsid w:val="00AE657C"/>
    <w:rsid w:val="00AE6FBA"/>
    <w:rsid w:val="00AE7309"/>
    <w:rsid w:val="00AF021F"/>
    <w:rsid w:val="00AF0614"/>
    <w:rsid w:val="00AF2950"/>
    <w:rsid w:val="00AF2C92"/>
    <w:rsid w:val="00AF368B"/>
    <w:rsid w:val="00AF594B"/>
    <w:rsid w:val="00AF5D88"/>
    <w:rsid w:val="00AF5FD0"/>
    <w:rsid w:val="00AF7B97"/>
    <w:rsid w:val="00B006E4"/>
    <w:rsid w:val="00B00803"/>
    <w:rsid w:val="00B00EB2"/>
    <w:rsid w:val="00B0135C"/>
    <w:rsid w:val="00B0174E"/>
    <w:rsid w:val="00B01A4A"/>
    <w:rsid w:val="00B02999"/>
    <w:rsid w:val="00B0317D"/>
    <w:rsid w:val="00B03986"/>
    <w:rsid w:val="00B039A7"/>
    <w:rsid w:val="00B04A40"/>
    <w:rsid w:val="00B07743"/>
    <w:rsid w:val="00B07C34"/>
    <w:rsid w:val="00B07C5E"/>
    <w:rsid w:val="00B10382"/>
    <w:rsid w:val="00B107DE"/>
    <w:rsid w:val="00B11CBC"/>
    <w:rsid w:val="00B11E48"/>
    <w:rsid w:val="00B11F04"/>
    <w:rsid w:val="00B11F33"/>
    <w:rsid w:val="00B1260A"/>
    <w:rsid w:val="00B1354F"/>
    <w:rsid w:val="00B14E33"/>
    <w:rsid w:val="00B16729"/>
    <w:rsid w:val="00B17D25"/>
    <w:rsid w:val="00B21210"/>
    <w:rsid w:val="00B22582"/>
    <w:rsid w:val="00B237B3"/>
    <w:rsid w:val="00B240B3"/>
    <w:rsid w:val="00B242F9"/>
    <w:rsid w:val="00B24668"/>
    <w:rsid w:val="00B24C68"/>
    <w:rsid w:val="00B24DB7"/>
    <w:rsid w:val="00B25F06"/>
    <w:rsid w:val="00B26E54"/>
    <w:rsid w:val="00B30121"/>
    <w:rsid w:val="00B30B90"/>
    <w:rsid w:val="00B30D11"/>
    <w:rsid w:val="00B31BB3"/>
    <w:rsid w:val="00B320EC"/>
    <w:rsid w:val="00B3455F"/>
    <w:rsid w:val="00B3492E"/>
    <w:rsid w:val="00B3545A"/>
    <w:rsid w:val="00B35D39"/>
    <w:rsid w:val="00B361FD"/>
    <w:rsid w:val="00B37CA8"/>
    <w:rsid w:val="00B40C92"/>
    <w:rsid w:val="00B419F1"/>
    <w:rsid w:val="00B41CBB"/>
    <w:rsid w:val="00B44255"/>
    <w:rsid w:val="00B45139"/>
    <w:rsid w:val="00B46254"/>
    <w:rsid w:val="00B47B3E"/>
    <w:rsid w:val="00B5010A"/>
    <w:rsid w:val="00B50245"/>
    <w:rsid w:val="00B51D94"/>
    <w:rsid w:val="00B52740"/>
    <w:rsid w:val="00B5400E"/>
    <w:rsid w:val="00B55291"/>
    <w:rsid w:val="00B55B0E"/>
    <w:rsid w:val="00B55F7D"/>
    <w:rsid w:val="00B56FA0"/>
    <w:rsid w:val="00B57747"/>
    <w:rsid w:val="00B6069D"/>
    <w:rsid w:val="00B60DAF"/>
    <w:rsid w:val="00B628AA"/>
    <w:rsid w:val="00B63AA4"/>
    <w:rsid w:val="00B63E6C"/>
    <w:rsid w:val="00B6514F"/>
    <w:rsid w:val="00B654B1"/>
    <w:rsid w:val="00B6679E"/>
    <w:rsid w:val="00B71E65"/>
    <w:rsid w:val="00B73C4B"/>
    <w:rsid w:val="00B75422"/>
    <w:rsid w:val="00B7562D"/>
    <w:rsid w:val="00B75B13"/>
    <w:rsid w:val="00B75BC8"/>
    <w:rsid w:val="00B80128"/>
    <w:rsid w:val="00B811E4"/>
    <w:rsid w:val="00B82161"/>
    <w:rsid w:val="00B83829"/>
    <w:rsid w:val="00B83E9D"/>
    <w:rsid w:val="00B846E4"/>
    <w:rsid w:val="00B852E5"/>
    <w:rsid w:val="00B85518"/>
    <w:rsid w:val="00B85812"/>
    <w:rsid w:val="00B8620D"/>
    <w:rsid w:val="00B865C4"/>
    <w:rsid w:val="00B872CF"/>
    <w:rsid w:val="00B87693"/>
    <w:rsid w:val="00B90FD2"/>
    <w:rsid w:val="00B92063"/>
    <w:rsid w:val="00B928A1"/>
    <w:rsid w:val="00B9370D"/>
    <w:rsid w:val="00B94896"/>
    <w:rsid w:val="00B953E7"/>
    <w:rsid w:val="00BA2A83"/>
    <w:rsid w:val="00BA56C7"/>
    <w:rsid w:val="00BA5FA6"/>
    <w:rsid w:val="00BA65B6"/>
    <w:rsid w:val="00BA6DE3"/>
    <w:rsid w:val="00BA6F10"/>
    <w:rsid w:val="00BA7674"/>
    <w:rsid w:val="00BA7B14"/>
    <w:rsid w:val="00BB0A8D"/>
    <w:rsid w:val="00BB19E4"/>
    <w:rsid w:val="00BB40A1"/>
    <w:rsid w:val="00BB594C"/>
    <w:rsid w:val="00BB5AB8"/>
    <w:rsid w:val="00BB6281"/>
    <w:rsid w:val="00BB7A7F"/>
    <w:rsid w:val="00BB7D49"/>
    <w:rsid w:val="00BC0A88"/>
    <w:rsid w:val="00BC25FF"/>
    <w:rsid w:val="00BC2814"/>
    <w:rsid w:val="00BC2D08"/>
    <w:rsid w:val="00BC41C0"/>
    <w:rsid w:val="00BC44CF"/>
    <w:rsid w:val="00BC4C2D"/>
    <w:rsid w:val="00BC5721"/>
    <w:rsid w:val="00BC59A1"/>
    <w:rsid w:val="00BC6BDB"/>
    <w:rsid w:val="00BC6E89"/>
    <w:rsid w:val="00BD0616"/>
    <w:rsid w:val="00BD1F5C"/>
    <w:rsid w:val="00BD2119"/>
    <w:rsid w:val="00BD4FE4"/>
    <w:rsid w:val="00BD615C"/>
    <w:rsid w:val="00BD638D"/>
    <w:rsid w:val="00BE0D3E"/>
    <w:rsid w:val="00BE1566"/>
    <w:rsid w:val="00BE2DAD"/>
    <w:rsid w:val="00BE3AAA"/>
    <w:rsid w:val="00BE543A"/>
    <w:rsid w:val="00BE584A"/>
    <w:rsid w:val="00BE6016"/>
    <w:rsid w:val="00BE6030"/>
    <w:rsid w:val="00BE74A8"/>
    <w:rsid w:val="00BE7B0E"/>
    <w:rsid w:val="00BF136C"/>
    <w:rsid w:val="00BF2F36"/>
    <w:rsid w:val="00BF3FAA"/>
    <w:rsid w:val="00BF4455"/>
    <w:rsid w:val="00BF4A7E"/>
    <w:rsid w:val="00BF5310"/>
    <w:rsid w:val="00BF5664"/>
    <w:rsid w:val="00BF58F5"/>
    <w:rsid w:val="00BF5E0F"/>
    <w:rsid w:val="00BF7079"/>
    <w:rsid w:val="00C007DF"/>
    <w:rsid w:val="00C0200C"/>
    <w:rsid w:val="00C023B9"/>
    <w:rsid w:val="00C039F3"/>
    <w:rsid w:val="00C04D8D"/>
    <w:rsid w:val="00C0519C"/>
    <w:rsid w:val="00C06DAB"/>
    <w:rsid w:val="00C10658"/>
    <w:rsid w:val="00C10DA7"/>
    <w:rsid w:val="00C11A56"/>
    <w:rsid w:val="00C11CC3"/>
    <w:rsid w:val="00C12FAC"/>
    <w:rsid w:val="00C15EF4"/>
    <w:rsid w:val="00C171AC"/>
    <w:rsid w:val="00C232BB"/>
    <w:rsid w:val="00C23EBA"/>
    <w:rsid w:val="00C24C8D"/>
    <w:rsid w:val="00C26679"/>
    <w:rsid w:val="00C267F5"/>
    <w:rsid w:val="00C269FD"/>
    <w:rsid w:val="00C27281"/>
    <w:rsid w:val="00C302C9"/>
    <w:rsid w:val="00C3090C"/>
    <w:rsid w:val="00C31169"/>
    <w:rsid w:val="00C31233"/>
    <w:rsid w:val="00C31556"/>
    <w:rsid w:val="00C31D60"/>
    <w:rsid w:val="00C32A99"/>
    <w:rsid w:val="00C3443D"/>
    <w:rsid w:val="00C34567"/>
    <w:rsid w:val="00C34D7F"/>
    <w:rsid w:val="00C35D10"/>
    <w:rsid w:val="00C3738F"/>
    <w:rsid w:val="00C37564"/>
    <w:rsid w:val="00C37BDB"/>
    <w:rsid w:val="00C40375"/>
    <w:rsid w:val="00C40434"/>
    <w:rsid w:val="00C40617"/>
    <w:rsid w:val="00C4117C"/>
    <w:rsid w:val="00C41795"/>
    <w:rsid w:val="00C419D8"/>
    <w:rsid w:val="00C430F7"/>
    <w:rsid w:val="00C4320C"/>
    <w:rsid w:val="00C442D3"/>
    <w:rsid w:val="00C443AB"/>
    <w:rsid w:val="00C461B5"/>
    <w:rsid w:val="00C46BAE"/>
    <w:rsid w:val="00C50898"/>
    <w:rsid w:val="00C52B9A"/>
    <w:rsid w:val="00C575EF"/>
    <w:rsid w:val="00C57998"/>
    <w:rsid w:val="00C6008C"/>
    <w:rsid w:val="00C6025D"/>
    <w:rsid w:val="00C60533"/>
    <w:rsid w:val="00C609CD"/>
    <w:rsid w:val="00C61182"/>
    <w:rsid w:val="00C61AC8"/>
    <w:rsid w:val="00C61C05"/>
    <w:rsid w:val="00C6233F"/>
    <w:rsid w:val="00C62A5D"/>
    <w:rsid w:val="00C62E93"/>
    <w:rsid w:val="00C64005"/>
    <w:rsid w:val="00C64F5C"/>
    <w:rsid w:val="00C65129"/>
    <w:rsid w:val="00C65803"/>
    <w:rsid w:val="00C65971"/>
    <w:rsid w:val="00C65F72"/>
    <w:rsid w:val="00C718BB"/>
    <w:rsid w:val="00C71EBE"/>
    <w:rsid w:val="00C7205B"/>
    <w:rsid w:val="00C74511"/>
    <w:rsid w:val="00C74639"/>
    <w:rsid w:val="00C7474A"/>
    <w:rsid w:val="00C758BE"/>
    <w:rsid w:val="00C75B67"/>
    <w:rsid w:val="00C76559"/>
    <w:rsid w:val="00C77F0D"/>
    <w:rsid w:val="00C83E56"/>
    <w:rsid w:val="00C83E7F"/>
    <w:rsid w:val="00C851FF"/>
    <w:rsid w:val="00C86271"/>
    <w:rsid w:val="00C86940"/>
    <w:rsid w:val="00C87231"/>
    <w:rsid w:val="00C87637"/>
    <w:rsid w:val="00C87E5C"/>
    <w:rsid w:val="00C9133C"/>
    <w:rsid w:val="00C91390"/>
    <w:rsid w:val="00C9162D"/>
    <w:rsid w:val="00C91B45"/>
    <w:rsid w:val="00C91E49"/>
    <w:rsid w:val="00C93263"/>
    <w:rsid w:val="00C9391C"/>
    <w:rsid w:val="00C93BCE"/>
    <w:rsid w:val="00C94D1E"/>
    <w:rsid w:val="00C95073"/>
    <w:rsid w:val="00C9645A"/>
    <w:rsid w:val="00C97E3C"/>
    <w:rsid w:val="00CA102A"/>
    <w:rsid w:val="00CA5410"/>
    <w:rsid w:val="00CA5560"/>
    <w:rsid w:val="00CA72B4"/>
    <w:rsid w:val="00CA76C1"/>
    <w:rsid w:val="00CB0851"/>
    <w:rsid w:val="00CB2B66"/>
    <w:rsid w:val="00CB316A"/>
    <w:rsid w:val="00CB3FE6"/>
    <w:rsid w:val="00CB4271"/>
    <w:rsid w:val="00CB4DFB"/>
    <w:rsid w:val="00CB5DA7"/>
    <w:rsid w:val="00CB71FC"/>
    <w:rsid w:val="00CC05B1"/>
    <w:rsid w:val="00CC1C91"/>
    <w:rsid w:val="00CC303F"/>
    <w:rsid w:val="00CC3511"/>
    <w:rsid w:val="00CC47DF"/>
    <w:rsid w:val="00CC4CF8"/>
    <w:rsid w:val="00CC4EFA"/>
    <w:rsid w:val="00CC5EA7"/>
    <w:rsid w:val="00CC704E"/>
    <w:rsid w:val="00CD0021"/>
    <w:rsid w:val="00CD013C"/>
    <w:rsid w:val="00CD0F97"/>
    <w:rsid w:val="00CD177C"/>
    <w:rsid w:val="00CD1C27"/>
    <w:rsid w:val="00CD1E12"/>
    <w:rsid w:val="00CD2798"/>
    <w:rsid w:val="00CD2A3B"/>
    <w:rsid w:val="00CD2EB0"/>
    <w:rsid w:val="00CD2F35"/>
    <w:rsid w:val="00CD3685"/>
    <w:rsid w:val="00CD3DD1"/>
    <w:rsid w:val="00CD4370"/>
    <w:rsid w:val="00CD6065"/>
    <w:rsid w:val="00CD6862"/>
    <w:rsid w:val="00CE2502"/>
    <w:rsid w:val="00CE2A02"/>
    <w:rsid w:val="00CE3109"/>
    <w:rsid w:val="00CE3FCA"/>
    <w:rsid w:val="00CE406C"/>
    <w:rsid w:val="00CE49CD"/>
    <w:rsid w:val="00CE4BC5"/>
    <w:rsid w:val="00CE5EBB"/>
    <w:rsid w:val="00CE6119"/>
    <w:rsid w:val="00CE6665"/>
    <w:rsid w:val="00CE68A1"/>
    <w:rsid w:val="00CE6A21"/>
    <w:rsid w:val="00CE7277"/>
    <w:rsid w:val="00CE735B"/>
    <w:rsid w:val="00CE739B"/>
    <w:rsid w:val="00CE7568"/>
    <w:rsid w:val="00CE7885"/>
    <w:rsid w:val="00CF1189"/>
    <w:rsid w:val="00CF1F63"/>
    <w:rsid w:val="00CF2212"/>
    <w:rsid w:val="00CF387E"/>
    <w:rsid w:val="00CF4019"/>
    <w:rsid w:val="00CF433E"/>
    <w:rsid w:val="00CF4D7B"/>
    <w:rsid w:val="00CF60F9"/>
    <w:rsid w:val="00D00988"/>
    <w:rsid w:val="00D009B5"/>
    <w:rsid w:val="00D0221A"/>
    <w:rsid w:val="00D02670"/>
    <w:rsid w:val="00D03413"/>
    <w:rsid w:val="00D03E32"/>
    <w:rsid w:val="00D041F0"/>
    <w:rsid w:val="00D06BD4"/>
    <w:rsid w:val="00D06E42"/>
    <w:rsid w:val="00D1014D"/>
    <w:rsid w:val="00D10931"/>
    <w:rsid w:val="00D12895"/>
    <w:rsid w:val="00D135FA"/>
    <w:rsid w:val="00D1373B"/>
    <w:rsid w:val="00D146A2"/>
    <w:rsid w:val="00D15BF3"/>
    <w:rsid w:val="00D165EB"/>
    <w:rsid w:val="00D16A5E"/>
    <w:rsid w:val="00D16E12"/>
    <w:rsid w:val="00D173A0"/>
    <w:rsid w:val="00D17898"/>
    <w:rsid w:val="00D17F01"/>
    <w:rsid w:val="00D2224D"/>
    <w:rsid w:val="00D22B11"/>
    <w:rsid w:val="00D22EC7"/>
    <w:rsid w:val="00D23478"/>
    <w:rsid w:val="00D239C4"/>
    <w:rsid w:val="00D247EA"/>
    <w:rsid w:val="00D2540A"/>
    <w:rsid w:val="00D267B2"/>
    <w:rsid w:val="00D27791"/>
    <w:rsid w:val="00D30B06"/>
    <w:rsid w:val="00D3118F"/>
    <w:rsid w:val="00D3481A"/>
    <w:rsid w:val="00D349FA"/>
    <w:rsid w:val="00D35190"/>
    <w:rsid w:val="00D35E30"/>
    <w:rsid w:val="00D35FAF"/>
    <w:rsid w:val="00D36518"/>
    <w:rsid w:val="00D374F5"/>
    <w:rsid w:val="00D37F3B"/>
    <w:rsid w:val="00D40046"/>
    <w:rsid w:val="00D41FB4"/>
    <w:rsid w:val="00D425F4"/>
    <w:rsid w:val="00D42E55"/>
    <w:rsid w:val="00D43E80"/>
    <w:rsid w:val="00D44B5D"/>
    <w:rsid w:val="00D44E3E"/>
    <w:rsid w:val="00D46C5B"/>
    <w:rsid w:val="00D46E4E"/>
    <w:rsid w:val="00D4715E"/>
    <w:rsid w:val="00D507B3"/>
    <w:rsid w:val="00D5105D"/>
    <w:rsid w:val="00D51E80"/>
    <w:rsid w:val="00D51F54"/>
    <w:rsid w:val="00D51F59"/>
    <w:rsid w:val="00D5212D"/>
    <w:rsid w:val="00D530E6"/>
    <w:rsid w:val="00D536AD"/>
    <w:rsid w:val="00D548A1"/>
    <w:rsid w:val="00D54D49"/>
    <w:rsid w:val="00D55FAF"/>
    <w:rsid w:val="00D56F91"/>
    <w:rsid w:val="00D56FE6"/>
    <w:rsid w:val="00D57A58"/>
    <w:rsid w:val="00D57CA8"/>
    <w:rsid w:val="00D61285"/>
    <w:rsid w:val="00D61BFD"/>
    <w:rsid w:val="00D62337"/>
    <w:rsid w:val="00D6285C"/>
    <w:rsid w:val="00D6400E"/>
    <w:rsid w:val="00D64BB4"/>
    <w:rsid w:val="00D6530F"/>
    <w:rsid w:val="00D66039"/>
    <w:rsid w:val="00D66323"/>
    <w:rsid w:val="00D66B97"/>
    <w:rsid w:val="00D67393"/>
    <w:rsid w:val="00D67D76"/>
    <w:rsid w:val="00D71B57"/>
    <w:rsid w:val="00D722E2"/>
    <w:rsid w:val="00D73473"/>
    <w:rsid w:val="00D73B4F"/>
    <w:rsid w:val="00D75750"/>
    <w:rsid w:val="00D7578E"/>
    <w:rsid w:val="00D774F8"/>
    <w:rsid w:val="00D775CC"/>
    <w:rsid w:val="00D814E1"/>
    <w:rsid w:val="00D82C2B"/>
    <w:rsid w:val="00D8329A"/>
    <w:rsid w:val="00D84283"/>
    <w:rsid w:val="00D8553E"/>
    <w:rsid w:val="00D86F3A"/>
    <w:rsid w:val="00D8779E"/>
    <w:rsid w:val="00D87893"/>
    <w:rsid w:val="00D878F0"/>
    <w:rsid w:val="00D907EA"/>
    <w:rsid w:val="00D912BF"/>
    <w:rsid w:val="00D922FB"/>
    <w:rsid w:val="00D923F0"/>
    <w:rsid w:val="00D93081"/>
    <w:rsid w:val="00D93205"/>
    <w:rsid w:val="00D943F8"/>
    <w:rsid w:val="00D94B05"/>
    <w:rsid w:val="00D96738"/>
    <w:rsid w:val="00D96D89"/>
    <w:rsid w:val="00D97172"/>
    <w:rsid w:val="00D97CFC"/>
    <w:rsid w:val="00DA1387"/>
    <w:rsid w:val="00DA159A"/>
    <w:rsid w:val="00DA1A73"/>
    <w:rsid w:val="00DA1C64"/>
    <w:rsid w:val="00DA2FEB"/>
    <w:rsid w:val="00DA36E6"/>
    <w:rsid w:val="00DA4084"/>
    <w:rsid w:val="00DA5590"/>
    <w:rsid w:val="00DA6F19"/>
    <w:rsid w:val="00DB01FF"/>
    <w:rsid w:val="00DB020C"/>
    <w:rsid w:val="00DB026C"/>
    <w:rsid w:val="00DB0862"/>
    <w:rsid w:val="00DB0ADF"/>
    <w:rsid w:val="00DB3089"/>
    <w:rsid w:val="00DB492C"/>
    <w:rsid w:val="00DB5CBB"/>
    <w:rsid w:val="00DB7127"/>
    <w:rsid w:val="00DB76AF"/>
    <w:rsid w:val="00DB7B8F"/>
    <w:rsid w:val="00DB7BAC"/>
    <w:rsid w:val="00DB7D5B"/>
    <w:rsid w:val="00DB7D8F"/>
    <w:rsid w:val="00DB7FB9"/>
    <w:rsid w:val="00DC0213"/>
    <w:rsid w:val="00DC0E76"/>
    <w:rsid w:val="00DC112A"/>
    <w:rsid w:val="00DC2482"/>
    <w:rsid w:val="00DC306A"/>
    <w:rsid w:val="00DC37F7"/>
    <w:rsid w:val="00DC4EC3"/>
    <w:rsid w:val="00DC568B"/>
    <w:rsid w:val="00DC71FA"/>
    <w:rsid w:val="00DC7CA8"/>
    <w:rsid w:val="00DD1181"/>
    <w:rsid w:val="00DD2811"/>
    <w:rsid w:val="00DD29B8"/>
    <w:rsid w:val="00DD3717"/>
    <w:rsid w:val="00DD6547"/>
    <w:rsid w:val="00DE0C49"/>
    <w:rsid w:val="00DE138A"/>
    <w:rsid w:val="00DE35C7"/>
    <w:rsid w:val="00DE3C5D"/>
    <w:rsid w:val="00DE3DCD"/>
    <w:rsid w:val="00DE3E0A"/>
    <w:rsid w:val="00DE3F85"/>
    <w:rsid w:val="00DE4F55"/>
    <w:rsid w:val="00DE4FCF"/>
    <w:rsid w:val="00DE5278"/>
    <w:rsid w:val="00DE54C7"/>
    <w:rsid w:val="00DE54DF"/>
    <w:rsid w:val="00DE7E8F"/>
    <w:rsid w:val="00DF002F"/>
    <w:rsid w:val="00DF0647"/>
    <w:rsid w:val="00DF1854"/>
    <w:rsid w:val="00DF219E"/>
    <w:rsid w:val="00DF2640"/>
    <w:rsid w:val="00DF2CA1"/>
    <w:rsid w:val="00DF2F11"/>
    <w:rsid w:val="00DF5622"/>
    <w:rsid w:val="00DF5CD7"/>
    <w:rsid w:val="00DF6429"/>
    <w:rsid w:val="00DF7857"/>
    <w:rsid w:val="00DF7D2B"/>
    <w:rsid w:val="00DF7F82"/>
    <w:rsid w:val="00E00529"/>
    <w:rsid w:val="00E00F9B"/>
    <w:rsid w:val="00E0102E"/>
    <w:rsid w:val="00E01326"/>
    <w:rsid w:val="00E01696"/>
    <w:rsid w:val="00E038C4"/>
    <w:rsid w:val="00E03A42"/>
    <w:rsid w:val="00E055B5"/>
    <w:rsid w:val="00E064F0"/>
    <w:rsid w:val="00E06D37"/>
    <w:rsid w:val="00E07E58"/>
    <w:rsid w:val="00E102F9"/>
    <w:rsid w:val="00E1361B"/>
    <w:rsid w:val="00E1477B"/>
    <w:rsid w:val="00E14ADF"/>
    <w:rsid w:val="00E15DA4"/>
    <w:rsid w:val="00E176A8"/>
    <w:rsid w:val="00E205F7"/>
    <w:rsid w:val="00E21A6C"/>
    <w:rsid w:val="00E21FD6"/>
    <w:rsid w:val="00E22717"/>
    <w:rsid w:val="00E23037"/>
    <w:rsid w:val="00E23496"/>
    <w:rsid w:val="00E23705"/>
    <w:rsid w:val="00E23D5E"/>
    <w:rsid w:val="00E23E54"/>
    <w:rsid w:val="00E25979"/>
    <w:rsid w:val="00E26C63"/>
    <w:rsid w:val="00E27FD7"/>
    <w:rsid w:val="00E30B4B"/>
    <w:rsid w:val="00E30B7A"/>
    <w:rsid w:val="00E30BA0"/>
    <w:rsid w:val="00E31596"/>
    <w:rsid w:val="00E31BA5"/>
    <w:rsid w:val="00E320E0"/>
    <w:rsid w:val="00E33514"/>
    <w:rsid w:val="00E351BB"/>
    <w:rsid w:val="00E357B3"/>
    <w:rsid w:val="00E358E9"/>
    <w:rsid w:val="00E36049"/>
    <w:rsid w:val="00E36174"/>
    <w:rsid w:val="00E3621F"/>
    <w:rsid w:val="00E36D92"/>
    <w:rsid w:val="00E414B6"/>
    <w:rsid w:val="00E42A75"/>
    <w:rsid w:val="00E44279"/>
    <w:rsid w:val="00E4473B"/>
    <w:rsid w:val="00E45B67"/>
    <w:rsid w:val="00E45F7F"/>
    <w:rsid w:val="00E50531"/>
    <w:rsid w:val="00E51CCF"/>
    <w:rsid w:val="00E52482"/>
    <w:rsid w:val="00E53366"/>
    <w:rsid w:val="00E54232"/>
    <w:rsid w:val="00E54497"/>
    <w:rsid w:val="00E5463F"/>
    <w:rsid w:val="00E54E31"/>
    <w:rsid w:val="00E54FDA"/>
    <w:rsid w:val="00E5766C"/>
    <w:rsid w:val="00E630F0"/>
    <w:rsid w:val="00E63A5B"/>
    <w:rsid w:val="00E66679"/>
    <w:rsid w:val="00E66E47"/>
    <w:rsid w:val="00E67B05"/>
    <w:rsid w:val="00E702BD"/>
    <w:rsid w:val="00E7156B"/>
    <w:rsid w:val="00E7228C"/>
    <w:rsid w:val="00E72A6E"/>
    <w:rsid w:val="00E73095"/>
    <w:rsid w:val="00E73DB4"/>
    <w:rsid w:val="00E73DD6"/>
    <w:rsid w:val="00E77EE9"/>
    <w:rsid w:val="00E805CB"/>
    <w:rsid w:val="00E80AEC"/>
    <w:rsid w:val="00E80FFE"/>
    <w:rsid w:val="00E81131"/>
    <w:rsid w:val="00E81350"/>
    <w:rsid w:val="00E81513"/>
    <w:rsid w:val="00E81B2C"/>
    <w:rsid w:val="00E81C65"/>
    <w:rsid w:val="00E8277C"/>
    <w:rsid w:val="00E83121"/>
    <w:rsid w:val="00E83D50"/>
    <w:rsid w:val="00E83F25"/>
    <w:rsid w:val="00E8582C"/>
    <w:rsid w:val="00E867CB"/>
    <w:rsid w:val="00E86A48"/>
    <w:rsid w:val="00E87366"/>
    <w:rsid w:val="00E9172C"/>
    <w:rsid w:val="00E919C8"/>
    <w:rsid w:val="00E924F2"/>
    <w:rsid w:val="00E92C27"/>
    <w:rsid w:val="00E95186"/>
    <w:rsid w:val="00E961E3"/>
    <w:rsid w:val="00E9708A"/>
    <w:rsid w:val="00E9759A"/>
    <w:rsid w:val="00EA06A7"/>
    <w:rsid w:val="00EA1AAC"/>
    <w:rsid w:val="00EA1EAA"/>
    <w:rsid w:val="00EA2767"/>
    <w:rsid w:val="00EA36D2"/>
    <w:rsid w:val="00EA3E89"/>
    <w:rsid w:val="00EA46B3"/>
    <w:rsid w:val="00EA694D"/>
    <w:rsid w:val="00EA6A10"/>
    <w:rsid w:val="00EA6C48"/>
    <w:rsid w:val="00EA6C7A"/>
    <w:rsid w:val="00EA78A8"/>
    <w:rsid w:val="00EB00A8"/>
    <w:rsid w:val="00EB00D8"/>
    <w:rsid w:val="00EB0D09"/>
    <w:rsid w:val="00EB0DC4"/>
    <w:rsid w:val="00EB1B89"/>
    <w:rsid w:val="00EB1EB3"/>
    <w:rsid w:val="00EB3A60"/>
    <w:rsid w:val="00EB3EDC"/>
    <w:rsid w:val="00EC0737"/>
    <w:rsid w:val="00EC1B82"/>
    <w:rsid w:val="00EC29B3"/>
    <w:rsid w:val="00EC2F81"/>
    <w:rsid w:val="00EC3C24"/>
    <w:rsid w:val="00EC41E4"/>
    <w:rsid w:val="00EC442A"/>
    <w:rsid w:val="00EC7571"/>
    <w:rsid w:val="00ED060B"/>
    <w:rsid w:val="00ED0D50"/>
    <w:rsid w:val="00ED0D84"/>
    <w:rsid w:val="00ED20F5"/>
    <w:rsid w:val="00ED52A8"/>
    <w:rsid w:val="00ED57F1"/>
    <w:rsid w:val="00ED5C89"/>
    <w:rsid w:val="00ED5FCE"/>
    <w:rsid w:val="00ED6D23"/>
    <w:rsid w:val="00ED7070"/>
    <w:rsid w:val="00ED7BEF"/>
    <w:rsid w:val="00ED7FD1"/>
    <w:rsid w:val="00EE0CC6"/>
    <w:rsid w:val="00EE1C1A"/>
    <w:rsid w:val="00EE2353"/>
    <w:rsid w:val="00EE27FB"/>
    <w:rsid w:val="00EE2E11"/>
    <w:rsid w:val="00EE3564"/>
    <w:rsid w:val="00EE3938"/>
    <w:rsid w:val="00EE3E34"/>
    <w:rsid w:val="00EE43A6"/>
    <w:rsid w:val="00EE4CFA"/>
    <w:rsid w:val="00EE5141"/>
    <w:rsid w:val="00EE53DE"/>
    <w:rsid w:val="00EE5A8A"/>
    <w:rsid w:val="00EE6ECD"/>
    <w:rsid w:val="00EE7368"/>
    <w:rsid w:val="00EF0139"/>
    <w:rsid w:val="00EF1A57"/>
    <w:rsid w:val="00EF1DE9"/>
    <w:rsid w:val="00EF2382"/>
    <w:rsid w:val="00EF315B"/>
    <w:rsid w:val="00EF41EF"/>
    <w:rsid w:val="00EF5BE3"/>
    <w:rsid w:val="00EF6D25"/>
    <w:rsid w:val="00EF7DD5"/>
    <w:rsid w:val="00F01C8F"/>
    <w:rsid w:val="00F022E9"/>
    <w:rsid w:val="00F027B2"/>
    <w:rsid w:val="00F03F53"/>
    <w:rsid w:val="00F04ECE"/>
    <w:rsid w:val="00F054FF"/>
    <w:rsid w:val="00F10D23"/>
    <w:rsid w:val="00F11077"/>
    <w:rsid w:val="00F115B6"/>
    <w:rsid w:val="00F11EA3"/>
    <w:rsid w:val="00F11FAB"/>
    <w:rsid w:val="00F13A31"/>
    <w:rsid w:val="00F14197"/>
    <w:rsid w:val="00F15010"/>
    <w:rsid w:val="00F1531A"/>
    <w:rsid w:val="00F20633"/>
    <w:rsid w:val="00F20FDC"/>
    <w:rsid w:val="00F2281B"/>
    <w:rsid w:val="00F22ED9"/>
    <w:rsid w:val="00F246C3"/>
    <w:rsid w:val="00F24704"/>
    <w:rsid w:val="00F24E48"/>
    <w:rsid w:val="00F25030"/>
    <w:rsid w:val="00F25095"/>
    <w:rsid w:val="00F2525C"/>
    <w:rsid w:val="00F2640F"/>
    <w:rsid w:val="00F271CD"/>
    <w:rsid w:val="00F27CA6"/>
    <w:rsid w:val="00F306E3"/>
    <w:rsid w:val="00F30A70"/>
    <w:rsid w:val="00F31084"/>
    <w:rsid w:val="00F33CF3"/>
    <w:rsid w:val="00F34540"/>
    <w:rsid w:val="00F347EE"/>
    <w:rsid w:val="00F36995"/>
    <w:rsid w:val="00F379E6"/>
    <w:rsid w:val="00F37ECE"/>
    <w:rsid w:val="00F40D10"/>
    <w:rsid w:val="00F4174E"/>
    <w:rsid w:val="00F42610"/>
    <w:rsid w:val="00F429C1"/>
    <w:rsid w:val="00F434A6"/>
    <w:rsid w:val="00F44426"/>
    <w:rsid w:val="00F4515E"/>
    <w:rsid w:val="00F4526A"/>
    <w:rsid w:val="00F4569F"/>
    <w:rsid w:val="00F4584A"/>
    <w:rsid w:val="00F464B4"/>
    <w:rsid w:val="00F46735"/>
    <w:rsid w:val="00F46E38"/>
    <w:rsid w:val="00F50796"/>
    <w:rsid w:val="00F51FA2"/>
    <w:rsid w:val="00F52270"/>
    <w:rsid w:val="00F528B1"/>
    <w:rsid w:val="00F5376C"/>
    <w:rsid w:val="00F55591"/>
    <w:rsid w:val="00F56CA5"/>
    <w:rsid w:val="00F5729E"/>
    <w:rsid w:val="00F574C9"/>
    <w:rsid w:val="00F60279"/>
    <w:rsid w:val="00F627A7"/>
    <w:rsid w:val="00F6473C"/>
    <w:rsid w:val="00F65298"/>
    <w:rsid w:val="00F65711"/>
    <w:rsid w:val="00F67F67"/>
    <w:rsid w:val="00F708AA"/>
    <w:rsid w:val="00F7175E"/>
    <w:rsid w:val="00F719C0"/>
    <w:rsid w:val="00F73148"/>
    <w:rsid w:val="00F7572B"/>
    <w:rsid w:val="00F76575"/>
    <w:rsid w:val="00F76875"/>
    <w:rsid w:val="00F76A80"/>
    <w:rsid w:val="00F76B9C"/>
    <w:rsid w:val="00F80DB7"/>
    <w:rsid w:val="00F82DD3"/>
    <w:rsid w:val="00F83E96"/>
    <w:rsid w:val="00F859FB"/>
    <w:rsid w:val="00F862F0"/>
    <w:rsid w:val="00F8707E"/>
    <w:rsid w:val="00F902EB"/>
    <w:rsid w:val="00F90A10"/>
    <w:rsid w:val="00F91411"/>
    <w:rsid w:val="00F93814"/>
    <w:rsid w:val="00F94062"/>
    <w:rsid w:val="00F94B26"/>
    <w:rsid w:val="00F95576"/>
    <w:rsid w:val="00F95A6B"/>
    <w:rsid w:val="00F960A8"/>
    <w:rsid w:val="00F96A0F"/>
    <w:rsid w:val="00F96BB6"/>
    <w:rsid w:val="00F974F0"/>
    <w:rsid w:val="00F976B4"/>
    <w:rsid w:val="00FA048C"/>
    <w:rsid w:val="00FA1014"/>
    <w:rsid w:val="00FA164F"/>
    <w:rsid w:val="00FA16D2"/>
    <w:rsid w:val="00FA326A"/>
    <w:rsid w:val="00FA39CE"/>
    <w:rsid w:val="00FA410F"/>
    <w:rsid w:val="00FA53FA"/>
    <w:rsid w:val="00FA5462"/>
    <w:rsid w:val="00FA6EF5"/>
    <w:rsid w:val="00FB023A"/>
    <w:rsid w:val="00FB0A94"/>
    <w:rsid w:val="00FB417C"/>
    <w:rsid w:val="00FB4AA7"/>
    <w:rsid w:val="00FB54EB"/>
    <w:rsid w:val="00FB65A9"/>
    <w:rsid w:val="00FC0216"/>
    <w:rsid w:val="00FC0967"/>
    <w:rsid w:val="00FC12BB"/>
    <w:rsid w:val="00FC1470"/>
    <w:rsid w:val="00FC1621"/>
    <w:rsid w:val="00FC3738"/>
    <w:rsid w:val="00FC43E0"/>
    <w:rsid w:val="00FC4E2F"/>
    <w:rsid w:val="00FC528C"/>
    <w:rsid w:val="00FC64AD"/>
    <w:rsid w:val="00FD003C"/>
    <w:rsid w:val="00FD03E4"/>
    <w:rsid w:val="00FD1B8D"/>
    <w:rsid w:val="00FD1E0C"/>
    <w:rsid w:val="00FD1E61"/>
    <w:rsid w:val="00FD213E"/>
    <w:rsid w:val="00FD2333"/>
    <w:rsid w:val="00FD2D8A"/>
    <w:rsid w:val="00FD3CE6"/>
    <w:rsid w:val="00FD4982"/>
    <w:rsid w:val="00FD4D26"/>
    <w:rsid w:val="00FD4E5B"/>
    <w:rsid w:val="00FD5337"/>
    <w:rsid w:val="00FD5B78"/>
    <w:rsid w:val="00FD6C2D"/>
    <w:rsid w:val="00FE0304"/>
    <w:rsid w:val="00FE1B92"/>
    <w:rsid w:val="00FE2664"/>
    <w:rsid w:val="00FE2B14"/>
    <w:rsid w:val="00FE306C"/>
    <w:rsid w:val="00FE34B0"/>
    <w:rsid w:val="00FE350E"/>
    <w:rsid w:val="00FE3807"/>
    <w:rsid w:val="00FE3C90"/>
    <w:rsid w:val="00FE401D"/>
    <w:rsid w:val="00FE46F4"/>
    <w:rsid w:val="00FE7B76"/>
    <w:rsid w:val="00FF03D1"/>
    <w:rsid w:val="00FF075A"/>
    <w:rsid w:val="00FF1241"/>
    <w:rsid w:val="00FF1746"/>
    <w:rsid w:val="00FF30C2"/>
    <w:rsid w:val="00FF413A"/>
    <w:rsid w:val="00FF42E2"/>
    <w:rsid w:val="00FF4879"/>
    <w:rsid w:val="00FF49FC"/>
    <w:rsid w:val="00FF6AFB"/>
    <w:rsid w:val="00FF7659"/>
    <w:rsid w:val="00FF770C"/>
    <w:rsid w:val="14694D8D"/>
    <w:rsid w:val="571B02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fillcolor="none [1942]">
      <v:fill color="none [1942]" opacity=".25"/>
    </o:shapedefaults>
    <o:shapelayout v:ext="edit">
      <o:idmap v:ext="edit" data="2"/>
    </o:shapelayout>
  </w:shapeDefaults>
  <w:decimalSymbol w:val="."/>
  <w:listSeparator w:val=","/>
  <w14:docId w14:val="5FDC058E"/>
  <w15:docId w15:val="{60279CC8-0638-4CE0-B73B-F8DD78AF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54FC"/>
    <w:pPr>
      <w:keepNext/>
      <w:keepLines/>
      <w:spacing w:before="480" w:after="0"/>
      <w:jc w:val="center"/>
      <w:outlineLvl w:val="0"/>
    </w:pPr>
    <w:rPr>
      <w:rFonts w:eastAsiaTheme="majorEastAsia" w:cstheme="majorBidi"/>
      <w:b/>
      <w:bCs/>
      <w:sz w:val="52"/>
      <w:szCs w:val="52"/>
    </w:rPr>
  </w:style>
  <w:style w:type="paragraph" w:styleId="Heading2">
    <w:name w:val="heading 2"/>
    <w:basedOn w:val="Normal"/>
    <w:next w:val="Normal"/>
    <w:link w:val="Heading2Char"/>
    <w:uiPriority w:val="9"/>
    <w:unhideWhenUsed/>
    <w:qFormat/>
    <w:rsid w:val="009822A8"/>
    <w:pPr>
      <w:keepNext/>
      <w:keepLines/>
      <w:spacing w:before="200" w:after="0"/>
      <w:outlineLvl w:val="1"/>
    </w:pPr>
    <w:rPr>
      <w:rFonts w:eastAsiaTheme="majorEastAsia" w:cstheme="majorBid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FA04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A048C"/>
    <w:rPr>
      <w:rFonts w:ascii="Tahoma" w:hAnsi="Tahoma" w:cs="Tahoma"/>
      <w:sz w:val="16"/>
      <w:szCs w:val="16"/>
    </w:rPr>
  </w:style>
  <w:style w:type="paragraph" w:styleId="Header">
    <w:name w:val="header"/>
    <w:basedOn w:val="Normal"/>
    <w:link w:val="HeaderChar"/>
    <w:uiPriority w:val="99"/>
    <w:unhideWhenUsed/>
    <w:rsid w:val="00B90F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0FD2"/>
  </w:style>
  <w:style w:type="paragraph" w:styleId="Footer">
    <w:name w:val="footer"/>
    <w:basedOn w:val="Normal"/>
    <w:link w:val="FooterChar"/>
    <w:uiPriority w:val="99"/>
    <w:unhideWhenUsed/>
    <w:rsid w:val="00B90F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0FD2"/>
  </w:style>
  <w:style w:type="character" w:styleId="CommentReference">
    <w:name w:val="annotation reference"/>
    <w:basedOn w:val="DefaultParagraphFont"/>
    <w:uiPriority w:val="99"/>
    <w:rsid w:val="00B90FD2"/>
    <w:rPr>
      <w:rFonts w:cs="Times New Roman"/>
      <w:sz w:val="16"/>
      <w:szCs w:val="16"/>
    </w:rPr>
  </w:style>
  <w:style w:type="paragraph" w:styleId="CommentText">
    <w:name w:val="annotation text"/>
    <w:basedOn w:val="Normal"/>
    <w:link w:val="CommentTextChar"/>
    <w:uiPriority w:val="99"/>
    <w:rsid w:val="00B90FD2"/>
    <w:pPr>
      <w:spacing w:after="0" w:line="240" w:lineRule="auto"/>
    </w:pPr>
    <w:rPr>
      <w:rFonts w:ascii="Arial" w:eastAsia="Times New Roman" w:hAnsi="Arial" w:cs="Arial"/>
      <w:sz w:val="20"/>
      <w:szCs w:val="20"/>
      <w:lang w:val="en-GB" w:eastAsia="en-GB"/>
    </w:rPr>
  </w:style>
  <w:style w:type="character" w:customStyle="1" w:styleId="CommentTextChar">
    <w:name w:val="Comment Text Char"/>
    <w:basedOn w:val="DefaultParagraphFont"/>
    <w:link w:val="CommentText"/>
    <w:uiPriority w:val="99"/>
    <w:rsid w:val="00B90FD2"/>
    <w:rPr>
      <w:rFonts w:ascii="Arial" w:eastAsia="Times New Roman" w:hAnsi="Arial" w:cs="Arial"/>
      <w:sz w:val="20"/>
      <w:szCs w:val="20"/>
      <w:lang w:val="en-GB" w:eastAsia="en-GB"/>
    </w:rPr>
  </w:style>
  <w:style w:type="paragraph" w:styleId="ListParagraph">
    <w:name w:val="List Paragraph"/>
    <w:basedOn w:val="Normal"/>
    <w:uiPriority w:val="34"/>
    <w:qFormat/>
    <w:rsid w:val="00546796"/>
    <w:pPr>
      <w:ind w:left="720"/>
      <w:contextualSpacing/>
    </w:pPr>
  </w:style>
  <w:style w:type="character" w:styleId="Hyperlink">
    <w:name w:val="Hyperlink"/>
    <w:basedOn w:val="DefaultParagraphFont"/>
    <w:unhideWhenUsed/>
    <w:rsid w:val="008338B0"/>
    <w:rPr>
      <w:color w:val="0000FF" w:themeColor="hyperlink"/>
      <w:u w:val="single"/>
    </w:rPr>
  </w:style>
  <w:style w:type="paragraph" w:styleId="FootnoteText">
    <w:name w:val="footnote text"/>
    <w:aliases w:val="Footnote Text Char Char Char Char Char Char,Footnote Text Char Char Char Char1,Footnote Text Char Char Char Char Char1,Footnote Text Char Char Char Char Char,Footnote Text Char Char Char,Footnote Text Char Char Char Cha,DNV-FT"/>
    <w:basedOn w:val="Normal"/>
    <w:link w:val="FootnoteTextChar"/>
    <w:uiPriority w:val="99"/>
    <w:unhideWhenUsed/>
    <w:rsid w:val="00AE1BDC"/>
    <w:pPr>
      <w:spacing w:after="0" w:line="240" w:lineRule="auto"/>
    </w:pPr>
    <w:rPr>
      <w:sz w:val="20"/>
      <w:szCs w:val="20"/>
    </w:rPr>
  </w:style>
  <w:style w:type="character" w:customStyle="1" w:styleId="FootnoteTextChar">
    <w:name w:val="Footnote Text Char"/>
    <w:aliases w:val="Footnote Text Char Char Char Char Char Char Char1,Footnote Text Char Char Char Char1 Char1,Footnote Text Char Char Char Char Char1 Char1,Footnote Text Char Char Char Char Char Char2,Footnote Text Char Char Char Char2,DNV-FT Char1"/>
    <w:basedOn w:val="DefaultParagraphFont"/>
    <w:link w:val="FootnoteText"/>
    <w:uiPriority w:val="99"/>
    <w:rsid w:val="00AE1BDC"/>
    <w:rPr>
      <w:sz w:val="20"/>
      <w:szCs w:val="20"/>
    </w:rPr>
  </w:style>
  <w:style w:type="character" w:styleId="FootnoteReference">
    <w:name w:val="footnote reference"/>
    <w:basedOn w:val="DefaultParagraphFont"/>
    <w:uiPriority w:val="99"/>
    <w:unhideWhenUsed/>
    <w:rsid w:val="00AE1BDC"/>
    <w:rPr>
      <w:vertAlign w:val="superscript"/>
    </w:rPr>
  </w:style>
  <w:style w:type="paragraph" w:styleId="CommentSubject">
    <w:name w:val="annotation subject"/>
    <w:basedOn w:val="CommentText"/>
    <w:next w:val="CommentText"/>
    <w:link w:val="CommentSubjectChar"/>
    <w:uiPriority w:val="99"/>
    <w:unhideWhenUsed/>
    <w:rsid w:val="00AE1BDC"/>
    <w:pPr>
      <w:spacing w:after="20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rsid w:val="00AE1BDC"/>
    <w:rPr>
      <w:rFonts w:ascii="Arial" w:eastAsia="Times New Roman" w:hAnsi="Arial" w:cs="Arial"/>
      <w:b/>
      <w:bCs/>
      <w:sz w:val="20"/>
      <w:szCs w:val="20"/>
      <w:lang w:val="en-GB" w:eastAsia="en-GB"/>
    </w:rPr>
  </w:style>
  <w:style w:type="paragraph" w:styleId="Revision">
    <w:name w:val="Revision"/>
    <w:hidden/>
    <w:uiPriority w:val="99"/>
    <w:semiHidden/>
    <w:rsid w:val="009B19E4"/>
    <w:pPr>
      <w:spacing w:after="0" w:line="240" w:lineRule="auto"/>
    </w:pPr>
  </w:style>
  <w:style w:type="character" w:customStyle="1" w:styleId="Heading1Char">
    <w:name w:val="Heading 1 Char"/>
    <w:basedOn w:val="DefaultParagraphFont"/>
    <w:link w:val="Heading1"/>
    <w:uiPriority w:val="9"/>
    <w:rsid w:val="006F54FC"/>
    <w:rPr>
      <w:rFonts w:eastAsiaTheme="majorEastAsia" w:cstheme="majorBidi"/>
      <w:b/>
      <w:bCs/>
      <w:sz w:val="52"/>
      <w:szCs w:val="52"/>
    </w:rPr>
  </w:style>
  <w:style w:type="character" w:customStyle="1" w:styleId="Heading2Char">
    <w:name w:val="Heading 2 Char"/>
    <w:basedOn w:val="DefaultParagraphFont"/>
    <w:link w:val="Heading2"/>
    <w:uiPriority w:val="9"/>
    <w:rsid w:val="009822A8"/>
    <w:rPr>
      <w:rFonts w:eastAsiaTheme="majorEastAsia" w:cstheme="majorBidi"/>
      <w:b/>
      <w:bCs/>
      <w:sz w:val="36"/>
      <w:szCs w:val="36"/>
    </w:rPr>
  </w:style>
  <w:style w:type="table" w:styleId="TableGrid">
    <w:name w:val="Table Grid"/>
    <w:basedOn w:val="TableNormal"/>
    <w:uiPriority w:val="39"/>
    <w:rsid w:val="00DC02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Heading">
    <w:name w:val="TOC Heading"/>
    <w:basedOn w:val="Heading1"/>
    <w:next w:val="Normal"/>
    <w:uiPriority w:val="39"/>
    <w:semiHidden/>
    <w:unhideWhenUsed/>
    <w:qFormat/>
    <w:rsid w:val="00661201"/>
    <w:pPr>
      <w:jc w:val="left"/>
      <w:outlineLvl w:val="9"/>
    </w:pPr>
    <w:rPr>
      <w:rFonts w:asciiTheme="majorHAnsi" w:hAnsiTheme="majorHAnsi"/>
      <w:color w:val="365F91" w:themeColor="accent1" w:themeShade="BF"/>
      <w:sz w:val="28"/>
      <w:szCs w:val="28"/>
    </w:rPr>
  </w:style>
  <w:style w:type="paragraph" w:styleId="TOC1">
    <w:name w:val="toc 1"/>
    <w:basedOn w:val="Normal"/>
    <w:next w:val="Normal"/>
    <w:autoRedefine/>
    <w:uiPriority w:val="39"/>
    <w:unhideWhenUsed/>
    <w:rsid w:val="00661201"/>
    <w:pPr>
      <w:spacing w:after="100"/>
    </w:pPr>
  </w:style>
  <w:style w:type="paragraph" w:styleId="TOC2">
    <w:name w:val="toc 2"/>
    <w:basedOn w:val="Normal"/>
    <w:next w:val="Normal"/>
    <w:autoRedefine/>
    <w:uiPriority w:val="39"/>
    <w:unhideWhenUsed/>
    <w:rsid w:val="00661201"/>
    <w:pPr>
      <w:spacing w:after="100"/>
      <w:ind w:left="220"/>
    </w:pPr>
  </w:style>
  <w:style w:type="character" w:styleId="FollowedHyperlink">
    <w:name w:val="FollowedHyperlink"/>
    <w:basedOn w:val="DefaultParagraphFont"/>
    <w:uiPriority w:val="99"/>
    <w:semiHidden/>
    <w:unhideWhenUsed/>
    <w:rsid w:val="000A7DDB"/>
    <w:rPr>
      <w:color w:val="800080" w:themeColor="followedHyperlink"/>
      <w:u w:val="single"/>
    </w:rPr>
  </w:style>
  <w:style w:type="paragraph" w:styleId="NoSpacing">
    <w:name w:val="No Spacing"/>
    <w:uiPriority w:val="1"/>
    <w:qFormat/>
    <w:rsid w:val="003F4848"/>
    <w:pPr>
      <w:spacing w:after="0" w:line="240" w:lineRule="auto"/>
    </w:pPr>
    <w:rPr>
      <w:rFonts w:eastAsiaTheme="minorHAnsi"/>
    </w:rPr>
  </w:style>
  <w:style w:type="character" w:customStyle="1" w:styleId="FootnoteTextChar1">
    <w:name w:val="Footnote Text Char1"/>
    <w:aliases w:val="Footnote Text Char Char Char Char Char Char Char,Footnote Text Char Char Char Char1 Char,Footnote Text Char Char Char Char Char1 Char,Footnote Text Char Char Char Char Char Char1,Footnote Text Char Char Char Char,DNV-FT Char"/>
    <w:basedOn w:val="DefaultParagraphFont"/>
    <w:rsid w:val="000531F1"/>
  </w:style>
  <w:style w:type="character" w:customStyle="1" w:styleId="boldtext">
    <w:name w:val="*boldtext"/>
    <w:rsid w:val="005E35E3"/>
    <w:rPr>
      <w:b/>
    </w:rPr>
  </w:style>
  <w:style w:type="table" w:customStyle="1" w:styleId="tableheader">
    <w:name w:val="*table header"/>
    <w:basedOn w:val="TableNormal"/>
    <w:qFormat/>
    <w:rsid w:val="005E35E3"/>
    <w:pPr>
      <w:spacing w:after="0" w:line="240" w:lineRule="auto"/>
    </w:pPr>
    <w:rPr>
      <w:rFonts w:ascii="Cambria" w:eastAsia="Cambria" w:hAnsi="Cambria" w:cs="Times New Roman"/>
      <w:sz w:val="20"/>
      <w:szCs w:val="20"/>
    </w:rPr>
    <w:tblPr/>
    <w:tblStylePr w:type="firstRow">
      <w:pPr>
        <w:jc w:val="center"/>
      </w:p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cBorders>
        <w:shd w:val="clear" w:color="auto" w:fill="D9D9D9"/>
        <w:vAlign w:val="center"/>
      </w:tcPr>
    </w:tblStylePr>
  </w:style>
  <w:style w:type="paragraph" w:styleId="PlainText">
    <w:name w:val="Plain Text"/>
    <w:basedOn w:val="Normal"/>
    <w:link w:val="PlainTextChar"/>
    <w:uiPriority w:val="99"/>
    <w:unhideWhenUsed/>
    <w:rsid w:val="005E35E3"/>
    <w:pPr>
      <w:spacing w:after="0" w:line="240" w:lineRule="auto"/>
    </w:pPr>
    <w:rPr>
      <w:rFonts w:ascii="Courier" w:eastAsia="Cambria" w:hAnsi="Courier" w:cs="Times New Roman"/>
      <w:sz w:val="21"/>
      <w:szCs w:val="21"/>
    </w:rPr>
  </w:style>
  <w:style w:type="character" w:customStyle="1" w:styleId="PlainTextChar">
    <w:name w:val="Plain Text Char"/>
    <w:basedOn w:val="DefaultParagraphFont"/>
    <w:link w:val="PlainText"/>
    <w:uiPriority w:val="99"/>
    <w:rsid w:val="005E35E3"/>
    <w:rPr>
      <w:rFonts w:ascii="Courier" w:eastAsia="Cambria" w:hAnsi="Courier" w:cs="Times New Roman"/>
      <w:sz w:val="21"/>
      <w:szCs w:val="21"/>
    </w:rPr>
  </w:style>
  <w:style w:type="paragraph" w:customStyle="1" w:styleId="text">
    <w:name w:val="*text"/>
    <w:basedOn w:val="Normal"/>
    <w:link w:val="textChar"/>
    <w:uiPriority w:val="99"/>
    <w:qFormat/>
    <w:rsid w:val="005E35E3"/>
    <w:pPr>
      <w:spacing w:after="180" w:line="300" w:lineRule="exact"/>
    </w:pPr>
    <w:rPr>
      <w:rFonts w:ascii="Palatino" w:eastAsia="Cambria" w:hAnsi="Palatino" w:cs="Times New Roman"/>
      <w:sz w:val="21"/>
      <w:szCs w:val="24"/>
    </w:rPr>
  </w:style>
  <w:style w:type="paragraph" w:customStyle="1" w:styleId="chapter">
    <w:name w:val="*chapter"/>
    <w:basedOn w:val="Normal"/>
    <w:qFormat/>
    <w:rsid w:val="005E35E3"/>
    <w:pPr>
      <w:spacing w:after="480" w:line="480" w:lineRule="exact"/>
    </w:pPr>
    <w:rPr>
      <w:rFonts w:ascii="Helvetica" w:eastAsia="Cambria" w:hAnsi="Helvetica" w:cs="Times New Roman"/>
      <w:sz w:val="48"/>
      <w:szCs w:val="24"/>
    </w:rPr>
  </w:style>
  <w:style w:type="paragraph" w:customStyle="1" w:styleId="chapternumber">
    <w:name w:val="*chapter number"/>
    <w:basedOn w:val="Normal"/>
    <w:qFormat/>
    <w:rsid w:val="005E35E3"/>
    <w:pPr>
      <w:spacing w:after="0" w:line="240" w:lineRule="auto"/>
    </w:pPr>
    <w:rPr>
      <w:rFonts w:ascii="Helvetica" w:eastAsia="Cambria" w:hAnsi="Helvetica" w:cs="Times New Roman"/>
      <w:color w:val="D9D9D9"/>
      <w:sz w:val="144"/>
      <w:szCs w:val="24"/>
    </w:rPr>
  </w:style>
  <w:style w:type="paragraph" w:customStyle="1" w:styleId="heading">
    <w:name w:val="*heading"/>
    <w:basedOn w:val="text"/>
    <w:link w:val="headingChar"/>
    <w:qFormat/>
    <w:rsid w:val="005E35E3"/>
    <w:pPr>
      <w:spacing w:after="240"/>
    </w:pPr>
    <w:rPr>
      <w:rFonts w:ascii="Helvetica" w:hAnsi="Helvetica"/>
      <w:sz w:val="32"/>
    </w:rPr>
  </w:style>
  <w:style w:type="character" w:styleId="PageNumber">
    <w:name w:val="page number"/>
    <w:basedOn w:val="DefaultParagraphFont"/>
    <w:rsid w:val="005E35E3"/>
  </w:style>
  <w:style w:type="table" w:customStyle="1" w:styleId="table">
    <w:name w:val="*table"/>
    <w:basedOn w:val="tableheader"/>
    <w:qFormat/>
    <w:rsid w:val="005E35E3"/>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shd w:val="clear" w:color="auto" w:fill="auto"/>
      <w:vAlign w:val="center"/>
    </w:tcPr>
    <w:tblStylePr w:type="firstRow">
      <w:pPr>
        <w:jc w:val="center"/>
      </w:p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cBorders>
        <w:shd w:val="clear" w:color="auto" w:fill="D9D9D9"/>
        <w:vAlign w:val="center"/>
      </w:tcPr>
    </w:tblStylePr>
  </w:style>
  <w:style w:type="paragraph" w:customStyle="1" w:styleId="tabletitle">
    <w:name w:val="*table title"/>
    <w:basedOn w:val="Normal"/>
    <w:qFormat/>
    <w:rsid w:val="005E35E3"/>
    <w:pPr>
      <w:spacing w:after="0" w:line="240" w:lineRule="auto"/>
      <w:jc w:val="center"/>
    </w:pPr>
    <w:rPr>
      <w:rFonts w:ascii="Helvetica" w:eastAsia="Cambria" w:hAnsi="Helvetica" w:cs="Times New Roman"/>
      <w:sz w:val="24"/>
      <w:szCs w:val="24"/>
    </w:rPr>
  </w:style>
  <w:style w:type="paragraph" w:customStyle="1" w:styleId="title">
    <w:name w:val="*title"/>
    <w:basedOn w:val="Normal"/>
    <w:qFormat/>
    <w:rsid w:val="005E35E3"/>
    <w:pPr>
      <w:spacing w:after="240" w:line="840" w:lineRule="exact"/>
    </w:pPr>
    <w:rPr>
      <w:rFonts w:ascii="Helvetica" w:eastAsia="Cambria" w:hAnsi="Helvetica" w:cs="Times New Roman"/>
      <w:b/>
      <w:sz w:val="72"/>
      <w:szCs w:val="24"/>
    </w:rPr>
  </w:style>
  <w:style w:type="paragraph" w:customStyle="1" w:styleId="subtitle">
    <w:name w:val="*subtitle"/>
    <w:basedOn w:val="Normal"/>
    <w:qFormat/>
    <w:rsid w:val="005E35E3"/>
    <w:pPr>
      <w:spacing w:after="0" w:line="240" w:lineRule="auto"/>
    </w:pPr>
    <w:rPr>
      <w:rFonts w:ascii="Helvetica" w:eastAsia="Cambria" w:hAnsi="Helvetica" w:cs="Times New Roman"/>
      <w:sz w:val="36"/>
      <w:szCs w:val="24"/>
    </w:rPr>
  </w:style>
  <w:style w:type="paragraph" w:customStyle="1" w:styleId="clientname-cover">
    <w:name w:val="*client name-cover"/>
    <w:basedOn w:val="Normal"/>
    <w:qFormat/>
    <w:rsid w:val="005E35E3"/>
    <w:pPr>
      <w:spacing w:after="0" w:line="240" w:lineRule="auto"/>
    </w:pPr>
    <w:rPr>
      <w:rFonts w:ascii="Helvetica" w:eastAsia="Cambria" w:hAnsi="Helvetica" w:cs="Times New Roman"/>
      <w:b/>
      <w:sz w:val="28"/>
      <w:szCs w:val="24"/>
    </w:rPr>
  </w:style>
  <w:style w:type="paragraph" w:customStyle="1" w:styleId="coverspecs">
    <w:name w:val="*cover specs"/>
    <w:basedOn w:val="Normal"/>
    <w:qFormat/>
    <w:rsid w:val="005E35E3"/>
    <w:pPr>
      <w:widowControl w:val="0"/>
      <w:tabs>
        <w:tab w:val="left" w:pos="1080"/>
      </w:tabs>
      <w:suppressAutoHyphens/>
      <w:autoSpaceDE w:val="0"/>
      <w:autoSpaceDN w:val="0"/>
      <w:adjustRightInd w:val="0"/>
      <w:spacing w:after="0" w:line="288" w:lineRule="auto"/>
      <w:textAlignment w:val="center"/>
    </w:pPr>
    <w:rPr>
      <w:rFonts w:ascii="Helvetica" w:eastAsia="Cambria" w:hAnsi="Helvetica" w:cs="Helvetica"/>
      <w:color w:val="000000"/>
      <w:sz w:val="24"/>
      <w:szCs w:val="24"/>
    </w:rPr>
  </w:style>
  <w:style w:type="paragraph" w:customStyle="1" w:styleId="tablesource">
    <w:name w:val="*table source"/>
    <w:basedOn w:val="text"/>
    <w:qFormat/>
    <w:rsid w:val="005E35E3"/>
    <w:pPr>
      <w:jc w:val="center"/>
    </w:pPr>
    <w:rPr>
      <w:sz w:val="16"/>
    </w:rPr>
  </w:style>
  <w:style w:type="paragraph" w:customStyle="1" w:styleId="toc">
    <w:name w:val="*toc"/>
    <w:basedOn w:val="Normal"/>
    <w:qFormat/>
    <w:rsid w:val="005E35E3"/>
    <w:pPr>
      <w:tabs>
        <w:tab w:val="left" w:pos="540"/>
        <w:tab w:val="right" w:leader="dot" w:pos="9000"/>
      </w:tabs>
      <w:spacing w:after="120" w:line="300" w:lineRule="exact"/>
    </w:pPr>
    <w:rPr>
      <w:rFonts w:ascii="Palatino" w:eastAsia="Cambria" w:hAnsi="Palatino" w:cs="Times New Roman"/>
      <w:sz w:val="21"/>
      <w:szCs w:val="24"/>
    </w:rPr>
  </w:style>
  <w:style w:type="paragraph" w:customStyle="1" w:styleId="header0">
    <w:name w:val="*header"/>
    <w:basedOn w:val="Header"/>
    <w:qFormat/>
    <w:rsid w:val="005E35E3"/>
    <w:pPr>
      <w:tabs>
        <w:tab w:val="clear" w:pos="4680"/>
        <w:tab w:val="clear" w:pos="9360"/>
        <w:tab w:val="center" w:pos="4320"/>
        <w:tab w:val="right" w:pos="8640"/>
      </w:tabs>
      <w:jc w:val="right"/>
    </w:pPr>
    <w:rPr>
      <w:rFonts w:ascii="Palatino" w:eastAsia="Cambria" w:hAnsi="Palatino" w:cs="Times New Roman"/>
      <w:i/>
      <w:sz w:val="19"/>
      <w:szCs w:val="24"/>
    </w:rPr>
  </w:style>
  <w:style w:type="paragraph" w:customStyle="1" w:styleId="footer0">
    <w:name w:val="*footer"/>
    <w:basedOn w:val="Footer"/>
    <w:qFormat/>
    <w:rsid w:val="005E35E3"/>
    <w:pPr>
      <w:tabs>
        <w:tab w:val="clear" w:pos="4680"/>
        <w:tab w:val="clear" w:pos="9360"/>
        <w:tab w:val="right" w:pos="9000"/>
      </w:tabs>
    </w:pPr>
    <w:rPr>
      <w:rFonts w:ascii="Palatino" w:eastAsia="Cambria" w:hAnsi="Palatino" w:cs="Times New Roman"/>
      <w:sz w:val="19"/>
      <w:szCs w:val="24"/>
    </w:rPr>
  </w:style>
  <w:style w:type="paragraph" w:styleId="BodyText">
    <w:name w:val="Body Text"/>
    <w:basedOn w:val="Normal"/>
    <w:link w:val="BodyTextChar"/>
    <w:rsid w:val="005E35E3"/>
    <w:pPr>
      <w:spacing w:after="0" w:line="240" w:lineRule="auto"/>
    </w:pPr>
    <w:rPr>
      <w:rFonts w:ascii="Times New Roman" w:eastAsia="Times New Roman" w:hAnsi="Times New Roman" w:cs="Times New Roman"/>
      <w:b/>
      <w:sz w:val="24"/>
      <w:szCs w:val="24"/>
    </w:rPr>
  </w:style>
  <w:style w:type="character" w:customStyle="1" w:styleId="BodyTextChar">
    <w:name w:val="Body Text Char"/>
    <w:basedOn w:val="DefaultParagraphFont"/>
    <w:link w:val="BodyText"/>
    <w:rsid w:val="005E35E3"/>
    <w:rPr>
      <w:rFonts w:ascii="Times New Roman" w:eastAsia="Times New Roman" w:hAnsi="Times New Roman" w:cs="Times New Roman"/>
      <w:b/>
      <w:sz w:val="24"/>
      <w:szCs w:val="24"/>
    </w:rPr>
  </w:style>
  <w:style w:type="paragraph" w:styleId="NormalWeb">
    <w:name w:val="Normal (Web)"/>
    <w:basedOn w:val="Normal"/>
    <w:uiPriority w:val="99"/>
    <w:rsid w:val="005E35E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5E35E3"/>
    <w:rPr>
      <w:b/>
      <w:bCs/>
    </w:rPr>
  </w:style>
  <w:style w:type="character" w:customStyle="1" w:styleId="textChar">
    <w:name w:val="*text Char"/>
    <w:link w:val="text"/>
    <w:uiPriority w:val="99"/>
    <w:rsid w:val="005E35E3"/>
    <w:rPr>
      <w:rFonts w:ascii="Palatino" w:eastAsia="Cambria" w:hAnsi="Palatino" w:cs="Times New Roman"/>
      <w:sz w:val="21"/>
      <w:szCs w:val="24"/>
    </w:rPr>
  </w:style>
  <w:style w:type="paragraph" w:customStyle="1" w:styleId="Default">
    <w:name w:val="Default"/>
    <w:rsid w:val="005E35E3"/>
    <w:pPr>
      <w:autoSpaceDE w:val="0"/>
      <w:autoSpaceDN w:val="0"/>
      <w:adjustRightInd w:val="0"/>
      <w:spacing w:after="0" w:line="240" w:lineRule="auto"/>
    </w:pPr>
    <w:rPr>
      <w:rFonts w:ascii="Calibri" w:eastAsia="Cambria" w:hAnsi="Calibri" w:cs="Calibri"/>
      <w:color w:val="000000"/>
      <w:sz w:val="24"/>
      <w:szCs w:val="24"/>
    </w:rPr>
  </w:style>
  <w:style w:type="character" w:customStyle="1" w:styleId="headingChar">
    <w:name w:val="*heading Char"/>
    <w:link w:val="heading"/>
    <w:rsid w:val="005E35E3"/>
    <w:rPr>
      <w:rFonts w:ascii="Helvetica" w:eastAsia="Cambria" w:hAnsi="Helvetica" w:cs="Times New Roman"/>
      <w:sz w:val="32"/>
      <w:szCs w:val="24"/>
    </w:rPr>
  </w:style>
  <w:style w:type="paragraph" w:styleId="BodyTextIndent2">
    <w:name w:val="Body Text Indent 2"/>
    <w:basedOn w:val="Normal"/>
    <w:link w:val="BodyTextIndent2Char"/>
    <w:uiPriority w:val="99"/>
    <w:semiHidden/>
    <w:unhideWhenUsed/>
    <w:rsid w:val="00060403"/>
    <w:pPr>
      <w:spacing w:after="120" w:line="480" w:lineRule="auto"/>
      <w:ind w:left="360"/>
    </w:pPr>
  </w:style>
  <w:style w:type="character" w:customStyle="1" w:styleId="BodyTextIndent2Char">
    <w:name w:val="Body Text Indent 2 Char"/>
    <w:basedOn w:val="DefaultParagraphFont"/>
    <w:link w:val="BodyTextIndent2"/>
    <w:uiPriority w:val="99"/>
    <w:semiHidden/>
    <w:rsid w:val="00060403"/>
  </w:style>
  <w:style w:type="character" w:customStyle="1" w:styleId="1">
    <w:name w:val="1"/>
    <w:rsid w:val="00060403"/>
    <w:rPr>
      <w:sz w:val="22"/>
    </w:rPr>
  </w:style>
  <w:style w:type="paragraph" w:styleId="Caption">
    <w:name w:val="caption"/>
    <w:basedOn w:val="Normal"/>
    <w:next w:val="Normal"/>
    <w:qFormat/>
    <w:rsid w:val="005B7173"/>
    <w:pPr>
      <w:widowControl w:val="0"/>
      <w:adjustRightInd w:val="0"/>
      <w:spacing w:before="120" w:after="120" w:line="360" w:lineRule="atLeast"/>
      <w:jc w:val="both"/>
      <w:textAlignment w:val="baseline"/>
    </w:pPr>
    <w:rPr>
      <w:rFonts w:ascii="Times New Roman" w:eastAsia="Times New Roman" w:hAnsi="Times New Roman" w:cs="Times New Roman"/>
      <w:b/>
      <w:bCs/>
      <w:sz w:val="20"/>
      <w:szCs w:val="20"/>
      <w:lang w:val="en-GB" w:eastAsia="en-GB"/>
    </w:rPr>
  </w:style>
  <w:style w:type="character" w:styleId="IntenseEmphasis">
    <w:name w:val="Intense Emphasis"/>
    <w:basedOn w:val="DefaultParagraphFont"/>
    <w:uiPriority w:val="21"/>
    <w:qFormat/>
    <w:rsid w:val="00082C28"/>
    <w:rPr>
      <w:b/>
      <w:bCs/>
      <w:i/>
      <w:iCs/>
      <w:color w:val="4F81BD" w:themeColor="accent1"/>
    </w:rPr>
  </w:style>
  <w:style w:type="character" w:customStyle="1" w:styleId="st">
    <w:name w:val="st"/>
    <w:basedOn w:val="DefaultParagraphFont"/>
    <w:rsid w:val="004C5EB8"/>
  </w:style>
  <w:style w:type="character" w:customStyle="1" w:styleId="cit-auth">
    <w:name w:val="cit-auth"/>
    <w:basedOn w:val="DefaultParagraphFont"/>
    <w:rsid w:val="007344DF"/>
  </w:style>
  <w:style w:type="character" w:customStyle="1" w:styleId="cit-name-surname">
    <w:name w:val="cit-name-surname"/>
    <w:basedOn w:val="DefaultParagraphFont"/>
    <w:rsid w:val="007344DF"/>
  </w:style>
  <w:style w:type="character" w:customStyle="1" w:styleId="cit-name-given-names">
    <w:name w:val="cit-name-given-names"/>
    <w:basedOn w:val="DefaultParagraphFont"/>
    <w:rsid w:val="007344DF"/>
  </w:style>
  <w:style w:type="character" w:styleId="HTMLCite">
    <w:name w:val="HTML Cite"/>
    <w:basedOn w:val="DefaultParagraphFont"/>
    <w:uiPriority w:val="99"/>
    <w:semiHidden/>
    <w:unhideWhenUsed/>
    <w:rsid w:val="007344DF"/>
    <w:rPr>
      <w:i/>
      <w:iCs/>
    </w:rPr>
  </w:style>
  <w:style w:type="character" w:customStyle="1" w:styleId="cit-pub-date">
    <w:name w:val="cit-pub-date"/>
    <w:basedOn w:val="DefaultParagraphFont"/>
    <w:rsid w:val="007344DF"/>
  </w:style>
  <w:style w:type="character" w:customStyle="1" w:styleId="cit-article-title">
    <w:name w:val="cit-article-title"/>
    <w:basedOn w:val="DefaultParagraphFont"/>
    <w:rsid w:val="007344DF"/>
  </w:style>
  <w:style w:type="character" w:customStyle="1" w:styleId="cit-publ-name">
    <w:name w:val="cit-publ-name"/>
    <w:basedOn w:val="DefaultParagraphFont"/>
    <w:rsid w:val="007344DF"/>
  </w:style>
  <w:style w:type="character" w:customStyle="1" w:styleId="cit-publ-loc">
    <w:name w:val="cit-publ-loc"/>
    <w:basedOn w:val="DefaultParagraphFont"/>
    <w:rsid w:val="007344DF"/>
  </w:style>
  <w:style w:type="character" w:customStyle="1" w:styleId="cit-comment">
    <w:name w:val="cit-comment"/>
    <w:basedOn w:val="DefaultParagraphFont"/>
    <w:rsid w:val="007344DF"/>
  </w:style>
  <w:style w:type="character" w:customStyle="1" w:styleId="element-invisible">
    <w:name w:val="element-invisible"/>
    <w:basedOn w:val="DefaultParagraphFont"/>
    <w:rsid w:val="00A126D1"/>
  </w:style>
  <w:style w:type="character" w:customStyle="1" w:styleId="UnresolvedMention1">
    <w:name w:val="Unresolved Mention1"/>
    <w:basedOn w:val="DefaultParagraphFont"/>
    <w:uiPriority w:val="99"/>
    <w:semiHidden/>
    <w:unhideWhenUsed/>
    <w:rsid w:val="007165A6"/>
    <w:rPr>
      <w:color w:val="605E5C"/>
      <w:shd w:val="clear" w:color="auto" w:fill="E1DFDD"/>
    </w:rPr>
  </w:style>
  <w:style w:type="character" w:styleId="SubtleEmphasis">
    <w:name w:val="Subtle Emphasis"/>
    <w:uiPriority w:val="19"/>
    <w:qFormat/>
    <w:rsid w:val="00376720"/>
    <w:rPr>
      <w:rFonts w:ascii="Arial" w:hAnsi="Arial" w:cs="Arial"/>
      <w:i/>
      <w:iCs/>
      <w:color w:val="808080"/>
      <w:sz w:val="20"/>
      <w:szCs w:val="20"/>
    </w:rPr>
  </w:style>
  <w:style w:type="paragraph" w:customStyle="1" w:styleId="paragraph">
    <w:name w:val="paragraph"/>
    <w:basedOn w:val="Normal"/>
    <w:rsid w:val="009202F1"/>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customStyle="1" w:styleId="normaltextrun">
    <w:name w:val="normaltextrun"/>
    <w:basedOn w:val="DefaultParagraphFont"/>
    <w:rsid w:val="009202F1"/>
  </w:style>
  <w:style w:type="character" w:customStyle="1" w:styleId="eop">
    <w:name w:val="eop"/>
    <w:basedOn w:val="DefaultParagraphFont"/>
    <w:rsid w:val="009202F1"/>
  </w:style>
  <w:style w:type="character" w:customStyle="1" w:styleId="spellingerror">
    <w:name w:val="spellingerror"/>
    <w:basedOn w:val="DefaultParagraphFont"/>
    <w:rsid w:val="009202F1"/>
  </w:style>
  <w:style w:type="character" w:customStyle="1" w:styleId="UnresolvedMention2">
    <w:name w:val="Unresolved Mention2"/>
    <w:basedOn w:val="DefaultParagraphFont"/>
    <w:uiPriority w:val="99"/>
    <w:semiHidden/>
    <w:unhideWhenUsed/>
    <w:rsid w:val="00B527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3985">
      <w:bodyDiv w:val="1"/>
      <w:marLeft w:val="0"/>
      <w:marRight w:val="0"/>
      <w:marTop w:val="0"/>
      <w:marBottom w:val="0"/>
      <w:divBdr>
        <w:top w:val="none" w:sz="0" w:space="0" w:color="auto"/>
        <w:left w:val="none" w:sz="0" w:space="0" w:color="auto"/>
        <w:bottom w:val="none" w:sz="0" w:space="0" w:color="auto"/>
        <w:right w:val="none" w:sz="0" w:space="0" w:color="auto"/>
      </w:divBdr>
    </w:div>
    <w:div w:id="86925808">
      <w:bodyDiv w:val="1"/>
      <w:marLeft w:val="0"/>
      <w:marRight w:val="0"/>
      <w:marTop w:val="0"/>
      <w:marBottom w:val="0"/>
      <w:divBdr>
        <w:top w:val="none" w:sz="0" w:space="0" w:color="auto"/>
        <w:left w:val="none" w:sz="0" w:space="0" w:color="auto"/>
        <w:bottom w:val="none" w:sz="0" w:space="0" w:color="auto"/>
        <w:right w:val="none" w:sz="0" w:space="0" w:color="auto"/>
      </w:divBdr>
    </w:div>
    <w:div w:id="106704163">
      <w:bodyDiv w:val="1"/>
      <w:marLeft w:val="0"/>
      <w:marRight w:val="0"/>
      <w:marTop w:val="0"/>
      <w:marBottom w:val="0"/>
      <w:divBdr>
        <w:top w:val="none" w:sz="0" w:space="0" w:color="auto"/>
        <w:left w:val="none" w:sz="0" w:space="0" w:color="auto"/>
        <w:bottom w:val="none" w:sz="0" w:space="0" w:color="auto"/>
        <w:right w:val="none" w:sz="0" w:space="0" w:color="auto"/>
      </w:divBdr>
    </w:div>
    <w:div w:id="115175240">
      <w:bodyDiv w:val="1"/>
      <w:marLeft w:val="0"/>
      <w:marRight w:val="0"/>
      <w:marTop w:val="0"/>
      <w:marBottom w:val="0"/>
      <w:divBdr>
        <w:top w:val="none" w:sz="0" w:space="0" w:color="auto"/>
        <w:left w:val="none" w:sz="0" w:space="0" w:color="auto"/>
        <w:bottom w:val="none" w:sz="0" w:space="0" w:color="auto"/>
        <w:right w:val="none" w:sz="0" w:space="0" w:color="auto"/>
      </w:divBdr>
    </w:div>
    <w:div w:id="139463778">
      <w:bodyDiv w:val="1"/>
      <w:marLeft w:val="0"/>
      <w:marRight w:val="0"/>
      <w:marTop w:val="0"/>
      <w:marBottom w:val="0"/>
      <w:divBdr>
        <w:top w:val="none" w:sz="0" w:space="0" w:color="auto"/>
        <w:left w:val="none" w:sz="0" w:space="0" w:color="auto"/>
        <w:bottom w:val="none" w:sz="0" w:space="0" w:color="auto"/>
        <w:right w:val="none" w:sz="0" w:space="0" w:color="auto"/>
      </w:divBdr>
    </w:div>
    <w:div w:id="170994730">
      <w:bodyDiv w:val="1"/>
      <w:marLeft w:val="0"/>
      <w:marRight w:val="0"/>
      <w:marTop w:val="0"/>
      <w:marBottom w:val="0"/>
      <w:divBdr>
        <w:top w:val="none" w:sz="0" w:space="0" w:color="auto"/>
        <w:left w:val="none" w:sz="0" w:space="0" w:color="auto"/>
        <w:bottom w:val="none" w:sz="0" w:space="0" w:color="auto"/>
        <w:right w:val="none" w:sz="0" w:space="0" w:color="auto"/>
      </w:divBdr>
    </w:div>
    <w:div w:id="205141679">
      <w:bodyDiv w:val="1"/>
      <w:marLeft w:val="0"/>
      <w:marRight w:val="0"/>
      <w:marTop w:val="0"/>
      <w:marBottom w:val="0"/>
      <w:divBdr>
        <w:top w:val="none" w:sz="0" w:space="0" w:color="auto"/>
        <w:left w:val="none" w:sz="0" w:space="0" w:color="auto"/>
        <w:bottom w:val="none" w:sz="0" w:space="0" w:color="auto"/>
        <w:right w:val="none" w:sz="0" w:space="0" w:color="auto"/>
      </w:divBdr>
    </w:div>
    <w:div w:id="223419383">
      <w:bodyDiv w:val="1"/>
      <w:marLeft w:val="0"/>
      <w:marRight w:val="0"/>
      <w:marTop w:val="0"/>
      <w:marBottom w:val="0"/>
      <w:divBdr>
        <w:top w:val="none" w:sz="0" w:space="0" w:color="auto"/>
        <w:left w:val="none" w:sz="0" w:space="0" w:color="auto"/>
        <w:bottom w:val="none" w:sz="0" w:space="0" w:color="auto"/>
        <w:right w:val="none" w:sz="0" w:space="0" w:color="auto"/>
      </w:divBdr>
    </w:div>
    <w:div w:id="257297238">
      <w:bodyDiv w:val="1"/>
      <w:marLeft w:val="0"/>
      <w:marRight w:val="0"/>
      <w:marTop w:val="0"/>
      <w:marBottom w:val="0"/>
      <w:divBdr>
        <w:top w:val="none" w:sz="0" w:space="0" w:color="auto"/>
        <w:left w:val="none" w:sz="0" w:space="0" w:color="auto"/>
        <w:bottom w:val="none" w:sz="0" w:space="0" w:color="auto"/>
        <w:right w:val="none" w:sz="0" w:space="0" w:color="auto"/>
      </w:divBdr>
    </w:div>
    <w:div w:id="262223976">
      <w:bodyDiv w:val="1"/>
      <w:marLeft w:val="0"/>
      <w:marRight w:val="0"/>
      <w:marTop w:val="0"/>
      <w:marBottom w:val="0"/>
      <w:divBdr>
        <w:top w:val="none" w:sz="0" w:space="0" w:color="auto"/>
        <w:left w:val="none" w:sz="0" w:space="0" w:color="auto"/>
        <w:bottom w:val="none" w:sz="0" w:space="0" w:color="auto"/>
        <w:right w:val="none" w:sz="0" w:space="0" w:color="auto"/>
      </w:divBdr>
    </w:div>
    <w:div w:id="268974347">
      <w:bodyDiv w:val="1"/>
      <w:marLeft w:val="0"/>
      <w:marRight w:val="0"/>
      <w:marTop w:val="0"/>
      <w:marBottom w:val="0"/>
      <w:divBdr>
        <w:top w:val="none" w:sz="0" w:space="0" w:color="auto"/>
        <w:left w:val="none" w:sz="0" w:space="0" w:color="auto"/>
        <w:bottom w:val="none" w:sz="0" w:space="0" w:color="auto"/>
        <w:right w:val="none" w:sz="0" w:space="0" w:color="auto"/>
      </w:divBdr>
    </w:div>
    <w:div w:id="271590963">
      <w:bodyDiv w:val="1"/>
      <w:marLeft w:val="0"/>
      <w:marRight w:val="0"/>
      <w:marTop w:val="0"/>
      <w:marBottom w:val="0"/>
      <w:divBdr>
        <w:top w:val="none" w:sz="0" w:space="0" w:color="auto"/>
        <w:left w:val="none" w:sz="0" w:space="0" w:color="auto"/>
        <w:bottom w:val="none" w:sz="0" w:space="0" w:color="auto"/>
        <w:right w:val="none" w:sz="0" w:space="0" w:color="auto"/>
      </w:divBdr>
    </w:div>
    <w:div w:id="281885438">
      <w:bodyDiv w:val="1"/>
      <w:marLeft w:val="0"/>
      <w:marRight w:val="0"/>
      <w:marTop w:val="0"/>
      <w:marBottom w:val="0"/>
      <w:divBdr>
        <w:top w:val="none" w:sz="0" w:space="0" w:color="auto"/>
        <w:left w:val="none" w:sz="0" w:space="0" w:color="auto"/>
        <w:bottom w:val="none" w:sz="0" w:space="0" w:color="auto"/>
        <w:right w:val="none" w:sz="0" w:space="0" w:color="auto"/>
      </w:divBdr>
    </w:div>
    <w:div w:id="318535181">
      <w:bodyDiv w:val="1"/>
      <w:marLeft w:val="0"/>
      <w:marRight w:val="0"/>
      <w:marTop w:val="0"/>
      <w:marBottom w:val="0"/>
      <w:divBdr>
        <w:top w:val="none" w:sz="0" w:space="0" w:color="auto"/>
        <w:left w:val="none" w:sz="0" w:space="0" w:color="auto"/>
        <w:bottom w:val="none" w:sz="0" w:space="0" w:color="auto"/>
        <w:right w:val="none" w:sz="0" w:space="0" w:color="auto"/>
      </w:divBdr>
    </w:div>
    <w:div w:id="351734267">
      <w:bodyDiv w:val="1"/>
      <w:marLeft w:val="0"/>
      <w:marRight w:val="0"/>
      <w:marTop w:val="0"/>
      <w:marBottom w:val="0"/>
      <w:divBdr>
        <w:top w:val="none" w:sz="0" w:space="0" w:color="auto"/>
        <w:left w:val="none" w:sz="0" w:space="0" w:color="auto"/>
        <w:bottom w:val="none" w:sz="0" w:space="0" w:color="auto"/>
        <w:right w:val="none" w:sz="0" w:space="0" w:color="auto"/>
      </w:divBdr>
    </w:div>
    <w:div w:id="356155049">
      <w:bodyDiv w:val="1"/>
      <w:marLeft w:val="0"/>
      <w:marRight w:val="0"/>
      <w:marTop w:val="0"/>
      <w:marBottom w:val="0"/>
      <w:divBdr>
        <w:top w:val="none" w:sz="0" w:space="0" w:color="auto"/>
        <w:left w:val="none" w:sz="0" w:space="0" w:color="auto"/>
        <w:bottom w:val="none" w:sz="0" w:space="0" w:color="auto"/>
        <w:right w:val="none" w:sz="0" w:space="0" w:color="auto"/>
      </w:divBdr>
    </w:div>
    <w:div w:id="399711233">
      <w:bodyDiv w:val="1"/>
      <w:marLeft w:val="0"/>
      <w:marRight w:val="0"/>
      <w:marTop w:val="0"/>
      <w:marBottom w:val="0"/>
      <w:divBdr>
        <w:top w:val="none" w:sz="0" w:space="0" w:color="auto"/>
        <w:left w:val="none" w:sz="0" w:space="0" w:color="auto"/>
        <w:bottom w:val="none" w:sz="0" w:space="0" w:color="auto"/>
        <w:right w:val="none" w:sz="0" w:space="0" w:color="auto"/>
      </w:divBdr>
    </w:div>
    <w:div w:id="414979388">
      <w:bodyDiv w:val="1"/>
      <w:marLeft w:val="0"/>
      <w:marRight w:val="0"/>
      <w:marTop w:val="0"/>
      <w:marBottom w:val="0"/>
      <w:divBdr>
        <w:top w:val="none" w:sz="0" w:space="0" w:color="auto"/>
        <w:left w:val="none" w:sz="0" w:space="0" w:color="auto"/>
        <w:bottom w:val="none" w:sz="0" w:space="0" w:color="auto"/>
        <w:right w:val="none" w:sz="0" w:space="0" w:color="auto"/>
      </w:divBdr>
    </w:div>
    <w:div w:id="452211494">
      <w:bodyDiv w:val="1"/>
      <w:marLeft w:val="0"/>
      <w:marRight w:val="0"/>
      <w:marTop w:val="0"/>
      <w:marBottom w:val="0"/>
      <w:divBdr>
        <w:top w:val="none" w:sz="0" w:space="0" w:color="auto"/>
        <w:left w:val="none" w:sz="0" w:space="0" w:color="auto"/>
        <w:bottom w:val="none" w:sz="0" w:space="0" w:color="auto"/>
        <w:right w:val="none" w:sz="0" w:space="0" w:color="auto"/>
      </w:divBdr>
    </w:div>
    <w:div w:id="465121155">
      <w:bodyDiv w:val="1"/>
      <w:marLeft w:val="0"/>
      <w:marRight w:val="0"/>
      <w:marTop w:val="0"/>
      <w:marBottom w:val="0"/>
      <w:divBdr>
        <w:top w:val="none" w:sz="0" w:space="0" w:color="auto"/>
        <w:left w:val="none" w:sz="0" w:space="0" w:color="auto"/>
        <w:bottom w:val="none" w:sz="0" w:space="0" w:color="auto"/>
        <w:right w:val="none" w:sz="0" w:space="0" w:color="auto"/>
      </w:divBdr>
    </w:div>
    <w:div w:id="488179905">
      <w:bodyDiv w:val="1"/>
      <w:marLeft w:val="0"/>
      <w:marRight w:val="0"/>
      <w:marTop w:val="0"/>
      <w:marBottom w:val="0"/>
      <w:divBdr>
        <w:top w:val="none" w:sz="0" w:space="0" w:color="auto"/>
        <w:left w:val="none" w:sz="0" w:space="0" w:color="auto"/>
        <w:bottom w:val="none" w:sz="0" w:space="0" w:color="auto"/>
        <w:right w:val="none" w:sz="0" w:space="0" w:color="auto"/>
      </w:divBdr>
    </w:div>
    <w:div w:id="522475093">
      <w:bodyDiv w:val="1"/>
      <w:marLeft w:val="0"/>
      <w:marRight w:val="0"/>
      <w:marTop w:val="0"/>
      <w:marBottom w:val="0"/>
      <w:divBdr>
        <w:top w:val="none" w:sz="0" w:space="0" w:color="auto"/>
        <w:left w:val="none" w:sz="0" w:space="0" w:color="auto"/>
        <w:bottom w:val="none" w:sz="0" w:space="0" w:color="auto"/>
        <w:right w:val="none" w:sz="0" w:space="0" w:color="auto"/>
      </w:divBdr>
    </w:div>
    <w:div w:id="549613912">
      <w:bodyDiv w:val="1"/>
      <w:marLeft w:val="0"/>
      <w:marRight w:val="0"/>
      <w:marTop w:val="0"/>
      <w:marBottom w:val="0"/>
      <w:divBdr>
        <w:top w:val="none" w:sz="0" w:space="0" w:color="auto"/>
        <w:left w:val="none" w:sz="0" w:space="0" w:color="auto"/>
        <w:bottom w:val="none" w:sz="0" w:space="0" w:color="auto"/>
        <w:right w:val="none" w:sz="0" w:space="0" w:color="auto"/>
      </w:divBdr>
    </w:div>
    <w:div w:id="551963217">
      <w:bodyDiv w:val="1"/>
      <w:marLeft w:val="0"/>
      <w:marRight w:val="0"/>
      <w:marTop w:val="0"/>
      <w:marBottom w:val="0"/>
      <w:divBdr>
        <w:top w:val="none" w:sz="0" w:space="0" w:color="auto"/>
        <w:left w:val="none" w:sz="0" w:space="0" w:color="auto"/>
        <w:bottom w:val="none" w:sz="0" w:space="0" w:color="auto"/>
        <w:right w:val="none" w:sz="0" w:space="0" w:color="auto"/>
      </w:divBdr>
      <w:divsChild>
        <w:div w:id="487552092">
          <w:marLeft w:val="0"/>
          <w:marRight w:val="0"/>
          <w:marTop w:val="0"/>
          <w:marBottom w:val="0"/>
          <w:divBdr>
            <w:top w:val="none" w:sz="0" w:space="0" w:color="auto"/>
            <w:left w:val="none" w:sz="0" w:space="0" w:color="auto"/>
            <w:bottom w:val="none" w:sz="0" w:space="0" w:color="auto"/>
            <w:right w:val="none" w:sz="0" w:space="0" w:color="auto"/>
          </w:divBdr>
        </w:div>
      </w:divsChild>
    </w:div>
    <w:div w:id="553852810">
      <w:bodyDiv w:val="1"/>
      <w:marLeft w:val="0"/>
      <w:marRight w:val="0"/>
      <w:marTop w:val="0"/>
      <w:marBottom w:val="0"/>
      <w:divBdr>
        <w:top w:val="none" w:sz="0" w:space="0" w:color="auto"/>
        <w:left w:val="none" w:sz="0" w:space="0" w:color="auto"/>
        <w:bottom w:val="none" w:sz="0" w:space="0" w:color="auto"/>
        <w:right w:val="none" w:sz="0" w:space="0" w:color="auto"/>
      </w:divBdr>
    </w:div>
    <w:div w:id="573127634">
      <w:bodyDiv w:val="1"/>
      <w:marLeft w:val="0"/>
      <w:marRight w:val="0"/>
      <w:marTop w:val="0"/>
      <w:marBottom w:val="0"/>
      <w:divBdr>
        <w:top w:val="none" w:sz="0" w:space="0" w:color="auto"/>
        <w:left w:val="none" w:sz="0" w:space="0" w:color="auto"/>
        <w:bottom w:val="none" w:sz="0" w:space="0" w:color="auto"/>
        <w:right w:val="none" w:sz="0" w:space="0" w:color="auto"/>
      </w:divBdr>
    </w:div>
    <w:div w:id="596866991">
      <w:bodyDiv w:val="1"/>
      <w:marLeft w:val="0"/>
      <w:marRight w:val="0"/>
      <w:marTop w:val="0"/>
      <w:marBottom w:val="0"/>
      <w:divBdr>
        <w:top w:val="none" w:sz="0" w:space="0" w:color="auto"/>
        <w:left w:val="none" w:sz="0" w:space="0" w:color="auto"/>
        <w:bottom w:val="none" w:sz="0" w:space="0" w:color="auto"/>
        <w:right w:val="none" w:sz="0" w:space="0" w:color="auto"/>
      </w:divBdr>
    </w:div>
    <w:div w:id="603198209">
      <w:bodyDiv w:val="1"/>
      <w:marLeft w:val="0"/>
      <w:marRight w:val="0"/>
      <w:marTop w:val="0"/>
      <w:marBottom w:val="0"/>
      <w:divBdr>
        <w:top w:val="none" w:sz="0" w:space="0" w:color="auto"/>
        <w:left w:val="none" w:sz="0" w:space="0" w:color="auto"/>
        <w:bottom w:val="none" w:sz="0" w:space="0" w:color="auto"/>
        <w:right w:val="none" w:sz="0" w:space="0" w:color="auto"/>
      </w:divBdr>
    </w:div>
    <w:div w:id="615990422">
      <w:bodyDiv w:val="1"/>
      <w:marLeft w:val="0"/>
      <w:marRight w:val="0"/>
      <w:marTop w:val="0"/>
      <w:marBottom w:val="0"/>
      <w:divBdr>
        <w:top w:val="none" w:sz="0" w:space="0" w:color="auto"/>
        <w:left w:val="none" w:sz="0" w:space="0" w:color="auto"/>
        <w:bottom w:val="none" w:sz="0" w:space="0" w:color="auto"/>
        <w:right w:val="none" w:sz="0" w:space="0" w:color="auto"/>
      </w:divBdr>
    </w:div>
    <w:div w:id="668169502">
      <w:bodyDiv w:val="1"/>
      <w:marLeft w:val="0"/>
      <w:marRight w:val="0"/>
      <w:marTop w:val="0"/>
      <w:marBottom w:val="0"/>
      <w:divBdr>
        <w:top w:val="none" w:sz="0" w:space="0" w:color="auto"/>
        <w:left w:val="none" w:sz="0" w:space="0" w:color="auto"/>
        <w:bottom w:val="none" w:sz="0" w:space="0" w:color="auto"/>
        <w:right w:val="none" w:sz="0" w:space="0" w:color="auto"/>
      </w:divBdr>
    </w:div>
    <w:div w:id="694423770">
      <w:bodyDiv w:val="1"/>
      <w:marLeft w:val="0"/>
      <w:marRight w:val="0"/>
      <w:marTop w:val="0"/>
      <w:marBottom w:val="0"/>
      <w:divBdr>
        <w:top w:val="none" w:sz="0" w:space="0" w:color="auto"/>
        <w:left w:val="none" w:sz="0" w:space="0" w:color="auto"/>
        <w:bottom w:val="none" w:sz="0" w:space="0" w:color="auto"/>
        <w:right w:val="none" w:sz="0" w:space="0" w:color="auto"/>
      </w:divBdr>
    </w:div>
    <w:div w:id="707606644">
      <w:bodyDiv w:val="1"/>
      <w:marLeft w:val="0"/>
      <w:marRight w:val="0"/>
      <w:marTop w:val="0"/>
      <w:marBottom w:val="0"/>
      <w:divBdr>
        <w:top w:val="none" w:sz="0" w:space="0" w:color="auto"/>
        <w:left w:val="none" w:sz="0" w:space="0" w:color="auto"/>
        <w:bottom w:val="none" w:sz="0" w:space="0" w:color="auto"/>
        <w:right w:val="none" w:sz="0" w:space="0" w:color="auto"/>
      </w:divBdr>
    </w:div>
    <w:div w:id="729035105">
      <w:bodyDiv w:val="1"/>
      <w:marLeft w:val="0"/>
      <w:marRight w:val="0"/>
      <w:marTop w:val="0"/>
      <w:marBottom w:val="0"/>
      <w:divBdr>
        <w:top w:val="none" w:sz="0" w:space="0" w:color="auto"/>
        <w:left w:val="none" w:sz="0" w:space="0" w:color="auto"/>
        <w:bottom w:val="none" w:sz="0" w:space="0" w:color="auto"/>
        <w:right w:val="none" w:sz="0" w:space="0" w:color="auto"/>
      </w:divBdr>
    </w:div>
    <w:div w:id="757366294">
      <w:bodyDiv w:val="1"/>
      <w:marLeft w:val="0"/>
      <w:marRight w:val="0"/>
      <w:marTop w:val="0"/>
      <w:marBottom w:val="0"/>
      <w:divBdr>
        <w:top w:val="none" w:sz="0" w:space="0" w:color="auto"/>
        <w:left w:val="none" w:sz="0" w:space="0" w:color="auto"/>
        <w:bottom w:val="none" w:sz="0" w:space="0" w:color="auto"/>
        <w:right w:val="none" w:sz="0" w:space="0" w:color="auto"/>
      </w:divBdr>
    </w:div>
    <w:div w:id="757605299">
      <w:bodyDiv w:val="1"/>
      <w:marLeft w:val="0"/>
      <w:marRight w:val="0"/>
      <w:marTop w:val="0"/>
      <w:marBottom w:val="0"/>
      <w:divBdr>
        <w:top w:val="none" w:sz="0" w:space="0" w:color="auto"/>
        <w:left w:val="none" w:sz="0" w:space="0" w:color="auto"/>
        <w:bottom w:val="none" w:sz="0" w:space="0" w:color="auto"/>
        <w:right w:val="none" w:sz="0" w:space="0" w:color="auto"/>
      </w:divBdr>
    </w:div>
    <w:div w:id="782696709">
      <w:bodyDiv w:val="1"/>
      <w:marLeft w:val="0"/>
      <w:marRight w:val="0"/>
      <w:marTop w:val="0"/>
      <w:marBottom w:val="0"/>
      <w:divBdr>
        <w:top w:val="none" w:sz="0" w:space="0" w:color="auto"/>
        <w:left w:val="none" w:sz="0" w:space="0" w:color="auto"/>
        <w:bottom w:val="none" w:sz="0" w:space="0" w:color="auto"/>
        <w:right w:val="none" w:sz="0" w:space="0" w:color="auto"/>
      </w:divBdr>
    </w:div>
    <w:div w:id="794565499">
      <w:bodyDiv w:val="1"/>
      <w:marLeft w:val="0"/>
      <w:marRight w:val="0"/>
      <w:marTop w:val="0"/>
      <w:marBottom w:val="0"/>
      <w:divBdr>
        <w:top w:val="none" w:sz="0" w:space="0" w:color="auto"/>
        <w:left w:val="none" w:sz="0" w:space="0" w:color="auto"/>
        <w:bottom w:val="none" w:sz="0" w:space="0" w:color="auto"/>
        <w:right w:val="none" w:sz="0" w:space="0" w:color="auto"/>
      </w:divBdr>
    </w:div>
    <w:div w:id="847672915">
      <w:bodyDiv w:val="1"/>
      <w:marLeft w:val="0"/>
      <w:marRight w:val="0"/>
      <w:marTop w:val="0"/>
      <w:marBottom w:val="0"/>
      <w:divBdr>
        <w:top w:val="none" w:sz="0" w:space="0" w:color="auto"/>
        <w:left w:val="none" w:sz="0" w:space="0" w:color="auto"/>
        <w:bottom w:val="none" w:sz="0" w:space="0" w:color="auto"/>
        <w:right w:val="none" w:sz="0" w:space="0" w:color="auto"/>
      </w:divBdr>
    </w:div>
    <w:div w:id="887301871">
      <w:bodyDiv w:val="1"/>
      <w:marLeft w:val="0"/>
      <w:marRight w:val="0"/>
      <w:marTop w:val="0"/>
      <w:marBottom w:val="0"/>
      <w:divBdr>
        <w:top w:val="none" w:sz="0" w:space="0" w:color="auto"/>
        <w:left w:val="none" w:sz="0" w:space="0" w:color="auto"/>
        <w:bottom w:val="none" w:sz="0" w:space="0" w:color="auto"/>
        <w:right w:val="none" w:sz="0" w:space="0" w:color="auto"/>
      </w:divBdr>
    </w:div>
    <w:div w:id="895237138">
      <w:bodyDiv w:val="1"/>
      <w:marLeft w:val="0"/>
      <w:marRight w:val="0"/>
      <w:marTop w:val="0"/>
      <w:marBottom w:val="0"/>
      <w:divBdr>
        <w:top w:val="none" w:sz="0" w:space="0" w:color="auto"/>
        <w:left w:val="none" w:sz="0" w:space="0" w:color="auto"/>
        <w:bottom w:val="none" w:sz="0" w:space="0" w:color="auto"/>
        <w:right w:val="none" w:sz="0" w:space="0" w:color="auto"/>
      </w:divBdr>
    </w:div>
    <w:div w:id="899175542">
      <w:bodyDiv w:val="1"/>
      <w:marLeft w:val="0"/>
      <w:marRight w:val="0"/>
      <w:marTop w:val="0"/>
      <w:marBottom w:val="0"/>
      <w:divBdr>
        <w:top w:val="none" w:sz="0" w:space="0" w:color="auto"/>
        <w:left w:val="none" w:sz="0" w:space="0" w:color="auto"/>
        <w:bottom w:val="none" w:sz="0" w:space="0" w:color="auto"/>
        <w:right w:val="none" w:sz="0" w:space="0" w:color="auto"/>
      </w:divBdr>
    </w:div>
    <w:div w:id="899562204">
      <w:bodyDiv w:val="1"/>
      <w:marLeft w:val="0"/>
      <w:marRight w:val="0"/>
      <w:marTop w:val="0"/>
      <w:marBottom w:val="0"/>
      <w:divBdr>
        <w:top w:val="none" w:sz="0" w:space="0" w:color="auto"/>
        <w:left w:val="none" w:sz="0" w:space="0" w:color="auto"/>
        <w:bottom w:val="none" w:sz="0" w:space="0" w:color="auto"/>
        <w:right w:val="none" w:sz="0" w:space="0" w:color="auto"/>
      </w:divBdr>
    </w:div>
    <w:div w:id="998389105">
      <w:bodyDiv w:val="1"/>
      <w:marLeft w:val="0"/>
      <w:marRight w:val="0"/>
      <w:marTop w:val="0"/>
      <w:marBottom w:val="0"/>
      <w:divBdr>
        <w:top w:val="none" w:sz="0" w:space="0" w:color="auto"/>
        <w:left w:val="none" w:sz="0" w:space="0" w:color="auto"/>
        <w:bottom w:val="none" w:sz="0" w:space="0" w:color="auto"/>
        <w:right w:val="none" w:sz="0" w:space="0" w:color="auto"/>
      </w:divBdr>
    </w:div>
    <w:div w:id="1019968975">
      <w:bodyDiv w:val="1"/>
      <w:marLeft w:val="0"/>
      <w:marRight w:val="0"/>
      <w:marTop w:val="0"/>
      <w:marBottom w:val="0"/>
      <w:divBdr>
        <w:top w:val="none" w:sz="0" w:space="0" w:color="auto"/>
        <w:left w:val="none" w:sz="0" w:space="0" w:color="auto"/>
        <w:bottom w:val="none" w:sz="0" w:space="0" w:color="auto"/>
        <w:right w:val="none" w:sz="0" w:space="0" w:color="auto"/>
      </w:divBdr>
    </w:div>
    <w:div w:id="1054038966">
      <w:bodyDiv w:val="1"/>
      <w:marLeft w:val="0"/>
      <w:marRight w:val="0"/>
      <w:marTop w:val="0"/>
      <w:marBottom w:val="0"/>
      <w:divBdr>
        <w:top w:val="none" w:sz="0" w:space="0" w:color="auto"/>
        <w:left w:val="none" w:sz="0" w:space="0" w:color="auto"/>
        <w:bottom w:val="none" w:sz="0" w:space="0" w:color="auto"/>
        <w:right w:val="none" w:sz="0" w:space="0" w:color="auto"/>
      </w:divBdr>
    </w:div>
    <w:div w:id="1076248360">
      <w:bodyDiv w:val="1"/>
      <w:marLeft w:val="0"/>
      <w:marRight w:val="0"/>
      <w:marTop w:val="0"/>
      <w:marBottom w:val="0"/>
      <w:divBdr>
        <w:top w:val="none" w:sz="0" w:space="0" w:color="auto"/>
        <w:left w:val="none" w:sz="0" w:space="0" w:color="auto"/>
        <w:bottom w:val="none" w:sz="0" w:space="0" w:color="auto"/>
        <w:right w:val="none" w:sz="0" w:space="0" w:color="auto"/>
      </w:divBdr>
    </w:div>
    <w:div w:id="1166937053">
      <w:bodyDiv w:val="1"/>
      <w:marLeft w:val="0"/>
      <w:marRight w:val="0"/>
      <w:marTop w:val="0"/>
      <w:marBottom w:val="0"/>
      <w:divBdr>
        <w:top w:val="none" w:sz="0" w:space="0" w:color="auto"/>
        <w:left w:val="none" w:sz="0" w:space="0" w:color="auto"/>
        <w:bottom w:val="none" w:sz="0" w:space="0" w:color="auto"/>
        <w:right w:val="none" w:sz="0" w:space="0" w:color="auto"/>
      </w:divBdr>
    </w:div>
    <w:div w:id="1172179946">
      <w:bodyDiv w:val="1"/>
      <w:marLeft w:val="0"/>
      <w:marRight w:val="0"/>
      <w:marTop w:val="0"/>
      <w:marBottom w:val="0"/>
      <w:divBdr>
        <w:top w:val="none" w:sz="0" w:space="0" w:color="auto"/>
        <w:left w:val="none" w:sz="0" w:space="0" w:color="auto"/>
        <w:bottom w:val="none" w:sz="0" w:space="0" w:color="auto"/>
        <w:right w:val="none" w:sz="0" w:space="0" w:color="auto"/>
      </w:divBdr>
    </w:div>
    <w:div w:id="1192572557">
      <w:bodyDiv w:val="1"/>
      <w:marLeft w:val="0"/>
      <w:marRight w:val="0"/>
      <w:marTop w:val="0"/>
      <w:marBottom w:val="0"/>
      <w:divBdr>
        <w:top w:val="none" w:sz="0" w:space="0" w:color="auto"/>
        <w:left w:val="none" w:sz="0" w:space="0" w:color="auto"/>
        <w:bottom w:val="none" w:sz="0" w:space="0" w:color="auto"/>
        <w:right w:val="none" w:sz="0" w:space="0" w:color="auto"/>
      </w:divBdr>
    </w:div>
    <w:div w:id="1216351904">
      <w:bodyDiv w:val="1"/>
      <w:marLeft w:val="0"/>
      <w:marRight w:val="0"/>
      <w:marTop w:val="0"/>
      <w:marBottom w:val="0"/>
      <w:divBdr>
        <w:top w:val="none" w:sz="0" w:space="0" w:color="auto"/>
        <w:left w:val="none" w:sz="0" w:space="0" w:color="auto"/>
        <w:bottom w:val="none" w:sz="0" w:space="0" w:color="auto"/>
        <w:right w:val="none" w:sz="0" w:space="0" w:color="auto"/>
      </w:divBdr>
    </w:div>
    <w:div w:id="1221865423">
      <w:bodyDiv w:val="1"/>
      <w:marLeft w:val="0"/>
      <w:marRight w:val="0"/>
      <w:marTop w:val="0"/>
      <w:marBottom w:val="0"/>
      <w:divBdr>
        <w:top w:val="none" w:sz="0" w:space="0" w:color="auto"/>
        <w:left w:val="none" w:sz="0" w:space="0" w:color="auto"/>
        <w:bottom w:val="none" w:sz="0" w:space="0" w:color="auto"/>
        <w:right w:val="none" w:sz="0" w:space="0" w:color="auto"/>
      </w:divBdr>
    </w:div>
    <w:div w:id="1224948331">
      <w:bodyDiv w:val="1"/>
      <w:marLeft w:val="0"/>
      <w:marRight w:val="0"/>
      <w:marTop w:val="0"/>
      <w:marBottom w:val="0"/>
      <w:divBdr>
        <w:top w:val="none" w:sz="0" w:space="0" w:color="auto"/>
        <w:left w:val="none" w:sz="0" w:space="0" w:color="auto"/>
        <w:bottom w:val="none" w:sz="0" w:space="0" w:color="auto"/>
        <w:right w:val="none" w:sz="0" w:space="0" w:color="auto"/>
      </w:divBdr>
    </w:div>
    <w:div w:id="1280409437">
      <w:bodyDiv w:val="1"/>
      <w:marLeft w:val="0"/>
      <w:marRight w:val="0"/>
      <w:marTop w:val="0"/>
      <w:marBottom w:val="0"/>
      <w:divBdr>
        <w:top w:val="none" w:sz="0" w:space="0" w:color="auto"/>
        <w:left w:val="none" w:sz="0" w:space="0" w:color="auto"/>
        <w:bottom w:val="none" w:sz="0" w:space="0" w:color="auto"/>
        <w:right w:val="none" w:sz="0" w:space="0" w:color="auto"/>
      </w:divBdr>
      <w:divsChild>
        <w:div w:id="24717230">
          <w:marLeft w:val="0"/>
          <w:marRight w:val="0"/>
          <w:marTop w:val="0"/>
          <w:marBottom w:val="0"/>
          <w:divBdr>
            <w:top w:val="none" w:sz="0" w:space="0" w:color="auto"/>
            <w:left w:val="none" w:sz="0" w:space="0" w:color="auto"/>
            <w:bottom w:val="none" w:sz="0" w:space="0" w:color="auto"/>
            <w:right w:val="none" w:sz="0" w:space="0" w:color="auto"/>
          </w:divBdr>
        </w:div>
      </w:divsChild>
    </w:div>
    <w:div w:id="1300304557">
      <w:bodyDiv w:val="1"/>
      <w:marLeft w:val="0"/>
      <w:marRight w:val="0"/>
      <w:marTop w:val="0"/>
      <w:marBottom w:val="0"/>
      <w:divBdr>
        <w:top w:val="none" w:sz="0" w:space="0" w:color="auto"/>
        <w:left w:val="none" w:sz="0" w:space="0" w:color="auto"/>
        <w:bottom w:val="none" w:sz="0" w:space="0" w:color="auto"/>
        <w:right w:val="none" w:sz="0" w:space="0" w:color="auto"/>
      </w:divBdr>
    </w:div>
    <w:div w:id="1318147731">
      <w:bodyDiv w:val="1"/>
      <w:marLeft w:val="0"/>
      <w:marRight w:val="0"/>
      <w:marTop w:val="0"/>
      <w:marBottom w:val="0"/>
      <w:divBdr>
        <w:top w:val="none" w:sz="0" w:space="0" w:color="auto"/>
        <w:left w:val="none" w:sz="0" w:space="0" w:color="auto"/>
        <w:bottom w:val="none" w:sz="0" w:space="0" w:color="auto"/>
        <w:right w:val="none" w:sz="0" w:space="0" w:color="auto"/>
      </w:divBdr>
    </w:div>
    <w:div w:id="1379206626">
      <w:bodyDiv w:val="1"/>
      <w:marLeft w:val="0"/>
      <w:marRight w:val="0"/>
      <w:marTop w:val="0"/>
      <w:marBottom w:val="0"/>
      <w:divBdr>
        <w:top w:val="none" w:sz="0" w:space="0" w:color="auto"/>
        <w:left w:val="none" w:sz="0" w:space="0" w:color="auto"/>
        <w:bottom w:val="none" w:sz="0" w:space="0" w:color="auto"/>
        <w:right w:val="none" w:sz="0" w:space="0" w:color="auto"/>
      </w:divBdr>
    </w:div>
    <w:div w:id="1388381208">
      <w:bodyDiv w:val="1"/>
      <w:marLeft w:val="0"/>
      <w:marRight w:val="0"/>
      <w:marTop w:val="0"/>
      <w:marBottom w:val="0"/>
      <w:divBdr>
        <w:top w:val="none" w:sz="0" w:space="0" w:color="auto"/>
        <w:left w:val="none" w:sz="0" w:space="0" w:color="auto"/>
        <w:bottom w:val="none" w:sz="0" w:space="0" w:color="auto"/>
        <w:right w:val="none" w:sz="0" w:space="0" w:color="auto"/>
      </w:divBdr>
    </w:div>
    <w:div w:id="1480414582">
      <w:bodyDiv w:val="1"/>
      <w:marLeft w:val="0"/>
      <w:marRight w:val="0"/>
      <w:marTop w:val="0"/>
      <w:marBottom w:val="0"/>
      <w:divBdr>
        <w:top w:val="none" w:sz="0" w:space="0" w:color="auto"/>
        <w:left w:val="none" w:sz="0" w:space="0" w:color="auto"/>
        <w:bottom w:val="none" w:sz="0" w:space="0" w:color="auto"/>
        <w:right w:val="none" w:sz="0" w:space="0" w:color="auto"/>
      </w:divBdr>
    </w:div>
    <w:div w:id="1496873556">
      <w:bodyDiv w:val="1"/>
      <w:marLeft w:val="0"/>
      <w:marRight w:val="0"/>
      <w:marTop w:val="0"/>
      <w:marBottom w:val="0"/>
      <w:divBdr>
        <w:top w:val="none" w:sz="0" w:space="0" w:color="auto"/>
        <w:left w:val="none" w:sz="0" w:space="0" w:color="auto"/>
        <w:bottom w:val="none" w:sz="0" w:space="0" w:color="auto"/>
        <w:right w:val="none" w:sz="0" w:space="0" w:color="auto"/>
      </w:divBdr>
    </w:div>
    <w:div w:id="1506046912">
      <w:bodyDiv w:val="1"/>
      <w:marLeft w:val="0"/>
      <w:marRight w:val="0"/>
      <w:marTop w:val="0"/>
      <w:marBottom w:val="0"/>
      <w:divBdr>
        <w:top w:val="none" w:sz="0" w:space="0" w:color="auto"/>
        <w:left w:val="none" w:sz="0" w:space="0" w:color="auto"/>
        <w:bottom w:val="none" w:sz="0" w:space="0" w:color="auto"/>
        <w:right w:val="none" w:sz="0" w:space="0" w:color="auto"/>
      </w:divBdr>
    </w:div>
    <w:div w:id="1620991436">
      <w:bodyDiv w:val="1"/>
      <w:marLeft w:val="0"/>
      <w:marRight w:val="0"/>
      <w:marTop w:val="0"/>
      <w:marBottom w:val="0"/>
      <w:divBdr>
        <w:top w:val="none" w:sz="0" w:space="0" w:color="auto"/>
        <w:left w:val="none" w:sz="0" w:space="0" w:color="auto"/>
        <w:bottom w:val="none" w:sz="0" w:space="0" w:color="auto"/>
        <w:right w:val="none" w:sz="0" w:space="0" w:color="auto"/>
      </w:divBdr>
    </w:div>
    <w:div w:id="1630545615">
      <w:bodyDiv w:val="1"/>
      <w:marLeft w:val="0"/>
      <w:marRight w:val="0"/>
      <w:marTop w:val="0"/>
      <w:marBottom w:val="0"/>
      <w:divBdr>
        <w:top w:val="none" w:sz="0" w:space="0" w:color="auto"/>
        <w:left w:val="none" w:sz="0" w:space="0" w:color="auto"/>
        <w:bottom w:val="none" w:sz="0" w:space="0" w:color="auto"/>
        <w:right w:val="none" w:sz="0" w:space="0" w:color="auto"/>
      </w:divBdr>
    </w:div>
    <w:div w:id="1650282704">
      <w:bodyDiv w:val="1"/>
      <w:marLeft w:val="0"/>
      <w:marRight w:val="0"/>
      <w:marTop w:val="0"/>
      <w:marBottom w:val="0"/>
      <w:divBdr>
        <w:top w:val="none" w:sz="0" w:space="0" w:color="auto"/>
        <w:left w:val="none" w:sz="0" w:space="0" w:color="auto"/>
        <w:bottom w:val="none" w:sz="0" w:space="0" w:color="auto"/>
        <w:right w:val="none" w:sz="0" w:space="0" w:color="auto"/>
      </w:divBdr>
    </w:div>
    <w:div w:id="1654067256">
      <w:bodyDiv w:val="1"/>
      <w:marLeft w:val="0"/>
      <w:marRight w:val="0"/>
      <w:marTop w:val="0"/>
      <w:marBottom w:val="0"/>
      <w:divBdr>
        <w:top w:val="none" w:sz="0" w:space="0" w:color="auto"/>
        <w:left w:val="none" w:sz="0" w:space="0" w:color="auto"/>
        <w:bottom w:val="none" w:sz="0" w:space="0" w:color="auto"/>
        <w:right w:val="none" w:sz="0" w:space="0" w:color="auto"/>
      </w:divBdr>
    </w:div>
    <w:div w:id="1693219127">
      <w:bodyDiv w:val="1"/>
      <w:marLeft w:val="0"/>
      <w:marRight w:val="0"/>
      <w:marTop w:val="0"/>
      <w:marBottom w:val="0"/>
      <w:divBdr>
        <w:top w:val="none" w:sz="0" w:space="0" w:color="auto"/>
        <w:left w:val="none" w:sz="0" w:space="0" w:color="auto"/>
        <w:bottom w:val="none" w:sz="0" w:space="0" w:color="auto"/>
        <w:right w:val="none" w:sz="0" w:space="0" w:color="auto"/>
      </w:divBdr>
    </w:div>
    <w:div w:id="1711295339">
      <w:bodyDiv w:val="1"/>
      <w:marLeft w:val="0"/>
      <w:marRight w:val="0"/>
      <w:marTop w:val="0"/>
      <w:marBottom w:val="0"/>
      <w:divBdr>
        <w:top w:val="none" w:sz="0" w:space="0" w:color="auto"/>
        <w:left w:val="none" w:sz="0" w:space="0" w:color="auto"/>
        <w:bottom w:val="none" w:sz="0" w:space="0" w:color="auto"/>
        <w:right w:val="none" w:sz="0" w:space="0" w:color="auto"/>
      </w:divBdr>
    </w:div>
    <w:div w:id="1718316755">
      <w:bodyDiv w:val="1"/>
      <w:marLeft w:val="0"/>
      <w:marRight w:val="0"/>
      <w:marTop w:val="0"/>
      <w:marBottom w:val="0"/>
      <w:divBdr>
        <w:top w:val="none" w:sz="0" w:space="0" w:color="auto"/>
        <w:left w:val="none" w:sz="0" w:space="0" w:color="auto"/>
        <w:bottom w:val="none" w:sz="0" w:space="0" w:color="auto"/>
        <w:right w:val="none" w:sz="0" w:space="0" w:color="auto"/>
      </w:divBdr>
    </w:div>
    <w:div w:id="1725910896">
      <w:bodyDiv w:val="1"/>
      <w:marLeft w:val="0"/>
      <w:marRight w:val="0"/>
      <w:marTop w:val="0"/>
      <w:marBottom w:val="0"/>
      <w:divBdr>
        <w:top w:val="none" w:sz="0" w:space="0" w:color="auto"/>
        <w:left w:val="none" w:sz="0" w:space="0" w:color="auto"/>
        <w:bottom w:val="none" w:sz="0" w:space="0" w:color="auto"/>
        <w:right w:val="none" w:sz="0" w:space="0" w:color="auto"/>
      </w:divBdr>
    </w:div>
    <w:div w:id="1739743891">
      <w:bodyDiv w:val="1"/>
      <w:marLeft w:val="0"/>
      <w:marRight w:val="0"/>
      <w:marTop w:val="0"/>
      <w:marBottom w:val="0"/>
      <w:divBdr>
        <w:top w:val="none" w:sz="0" w:space="0" w:color="auto"/>
        <w:left w:val="none" w:sz="0" w:space="0" w:color="auto"/>
        <w:bottom w:val="none" w:sz="0" w:space="0" w:color="auto"/>
        <w:right w:val="none" w:sz="0" w:space="0" w:color="auto"/>
      </w:divBdr>
    </w:div>
    <w:div w:id="1776554026">
      <w:bodyDiv w:val="1"/>
      <w:marLeft w:val="0"/>
      <w:marRight w:val="0"/>
      <w:marTop w:val="0"/>
      <w:marBottom w:val="0"/>
      <w:divBdr>
        <w:top w:val="none" w:sz="0" w:space="0" w:color="auto"/>
        <w:left w:val="none" w:sz="0" w:space="0" w:color="auto"/>
        <w:bottom w:val="none" w:sz="0" w:space="0" w:color="auto"/>
        <w:right w:val="none" w:sz="0" w:space="0" w:color="auto"/>
      </w:divBdr>
    </w:div>
    <w:div w:id="1794977229">
      <w:bodyDiv w:val="1"/>
      <w:marLeft w:val="0"/>
      <w:marRight w:val="0"/>
      <w:marTop w:val="0"/>
      <w:marBottom w:val="0"/>
      <w:divBdr>
        <w:top w:val="none" w:sz="0" w:space="0" w:color="auto"/>
        <w:left w:val="none" w:sz="0" w:space="0" w:color="auto"/>
        <w:bottom w:val="none" w:sz="0" w:space="0" w:color="auto"/>
        <w:right w:val="none" w:sz="0" w:space="0" w:color="auto"/>
      </w:divBdr>
    </w:div>
    <w:div w:id="1796408042">
      <w:bodyDiv w:val="1"/>
      <w:marLeft w:val="0"/>
      <w:marRight w:val="0"/>
      <w:marTop w:val="0"/>
      <w:marBottom w:val="0"/>
      <w:divBdr>
        <w:top w:val="none" w:sz="0" w:space="0" w:color="auto"/>
        <w:left w:val="none" w:sz="0" w:space="0" w:color="auto"/>
        <w:bottom w:val="none" w:sz="0" w:space="0" w:color="auto"/>
        <w:right w:val="none" w:sz="0" w:space="0" w:color="auto"/>
      </w:divBdr>
    </w:div>
    <w:div w:id="1835758568">
      <w:bodyDiv w:val="1"/>
      <w:marLeft w:val="0"/>
      <w:marRight w:val="0"/>
      <w:marTop w:val="0"/>
      <w:marBottom w:val="0"/>
      <w:divBdr>
        <w:top w:val="none" w:sz="0" w:space="0" w:color="auto"/>
        <w:left w:val="none" w:sz="0" w:space="0" w:color="auto"/>
        <w:bottom w:val="none" w:sz="0" w:space="0" w:color="auto"/>
        <w:right w:val="none" w:sz="0" w:space="0" w:color="auto"/>
      </w:divBdr>
    </w:div>
    <w:div w:id="1836338100">
      <w:bodyDiv w:val="1"/>
      <w:marLeft w:val="0"/>
      <w:marRight w:val="0"/>
      <w:marTop w:val="0"/>
      <w:marBottom w:val="0"/>
      <w:divBdr>
        <w:top w:val="none" w:sz="0" w:space="0" w:color="auto"/>
        <w:left w:val="none" w:sz="0" w:space="0" w:color="auto"/>
        <w:bottom w:val="none" w:sz="0" w:space="0" w:color="auto"/>
        <w:right w:val="none" w:sz="0" w:space="0" w:color="auto"/>
      </w:divBdr>
    </w:div>
    <w:div w:id="1883665382">
      <w:bodyDiv w:val="1"/>
      <w:marLeft w:val="0"/>
      <w:marRight w:val="0"/>
      <w:marTop w:val="0"/>
      <w:marBottom w:val="0"/>
      <w:divBdr>
        <w:top w:val="none" w:sz="0" w:space="0" w:color="auto"/>
        <w:left w:val="none" w:sz="0" w:space="0" w:color="auto"/>
        <w:bottom w:val="none" w:sz="0" w:space="0" w:color="auto"/>
        <w:right w:val="none" w:sz="0" w:space="0" w:color="auto"/>
      </w:divBdr>
    </w:div>
    <w:div w:id="1921478450">
      <w:bodyDiv w:val="1"/>
      <w:marLeft w:val="0"/>
      <w:marRight w:val="0"/>
      <w:marTop w:val="0"/>
      <w:marBottom w:val="0"/>
      <w:divBdr>
        <w:top w:val="none" w:sz="0" w:space="0" w:color="auto"/>
        <w:left w:val="none" w:sz="0" w:space="0" w:color="auto"/>
        <w:bottom w:val="none" w:sz="0" w:space="0" w:color="auto"/>
        <w:right w:val="none" w:sz="0" w:space="0" w:color="auto"/>
      </w:divBdr>
    </w:div>
    <w:div w:id="1942369818">
      <w:bodyDiv w:val="1"/>
      <w:marLeft w:val="0"/>
      <w:marRight w:val="0"/>
      <w:marTop w:val="0"/>
      <w:marBottom w:val="0"/>
      <w:divBdr>
        <w:top w:val="none" w:sz="0" w:space="0" w:color="auto"/>
        <w:left w:val="none" w:sz="0" w:space="0" w:color="auto"/>
        <w:bottom w:val="none" w:sz="0" w:space="0" w:color="auto"/>
        <w:right w:val="none" w:sz="0" w:space="0" w:color="auto"/>
      </w:divBdr>
    </w:div>
    <w:div w:id="1946959264">
      <w:bodyDiv w:val="1"/>
      <w:marLeft w:val="0"/>
      <w:marRight w:val="0"/>
      <w:marTop w:val="0"/>
      <w:marBottom w:val="0"/>
      <w:divBdr>
        <w:top w:val="none" w:sz="0" w:space="0" w:color="auto"/>
        <w:left w:val="none" w:sz="0" w:space="0" w:color="auto"/>
        <w:bottom w:val="none" w:sz="0" w:space="0" w:color="auto"/>
        <w:right w:val="none" w:sz="0" w:space="0" w:color="auto"/>
      </w:divBdr>
    </w:div>
    <w:div w:id="2064601974">
      <w:bodyDiv w:val="1"/>
      <w:marLeft w:val="0"/>
      <w:marRight w:val="0"/>
      <w:marTop w:val="0"/>
      <w:marBottom w:val="0"/>
      <w:divBdr>
        <w:top w:val="none" w:sz="0" w:space="0" w:color="auto"/>
        <w:left w:val="none" w:sz="0" w:space="0" w:color="auto"/>
        <w:bottom w:val="none" w:sz="0" w:space="0" w:color="auto"/>
        <w:right w:val="none" w:sz="0" w:space="0" w:color="auto"/>
      </w:divBdr>
      <w:divsChild>
        <w:div w:id="1095126495">
          <w:marLeft w:val="0"/>
          <w:marRight w:val="0"/>
          <w:marTop w:val="0"/>
          <w:marBottom w:val="0"/>
          <w:divBdr>
            <w:top w:val="none" w:sz="0" w:space="0" w:color="auto"/>
            <w:left w:val="none" w:sz="0" w:space="0" w:color="auto"/>
            <w:bottom w:val="none" w:sz="0" w:space="0" w:color="auto"/>
            <w:right w:val="none" w:sz="0" w:space="0" w:color="auto"/>
          </w:divBdr>
        </w:div>
      </w:divsChild>
    </w:div>
    <w:div w:id="2065399261">
      <w:bodyDiv w:val="1"/>
      <w:marLeft w:val="0"/>
      <w:marRight w:val="0"/>
      <w:marTop w:val="0"/>
      <w:marBottom w:val="0"/>
      <w:divBdr>
        <w:top w:val="none" w:sz="0" w:space="0" w:color="auto"/>
        <w:left w:val="none" w:sz="0" w:space="0" w:color="auto"/>
        <w:bottom w:val="none" w:sz="0" w:space="0" w:color="auto"/>
        <w:right w:val="none" w:sz="0" w:space="0" w:color="auto"/>
      </w:divBdr>
    </w:div>
    <w:div w:id="2128962912">
      <w:bodyDiv w:val="1"/>
      <w:marLeft w:val="0"/>
      <w:marRight w:val="0"/>
      <w:marTop w:val="0"/>
      <w:marBottom w:val="0"/>
      <w:divBdr>
        <w:top w:val="none" w:sz="0" w:space="0" w:color="auto"/>
        <w:left w:val="none" w:sz="0" w:space="0" w:color="auto"/>
        <w:bottom w:val="none" w:sz="0" w:space="0" w:color="auto"/>
        <w:right w:val="none" w:sz="0" w:space="0" w:color="auto"/>
      </w:divBdr>
    </w:div>
    <w:div w:id="21414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david.shoch@terracarbon.com" TargetMode="External"/><Relationship Id="rId3" Type="http://schemas.openxmlformats.org/officeDocument/2006/relationships/styles" Target="styles.xml"/><Relationship Id="rId21" Type="http://schemas.openxmlformats.org/officeDocument/2006/relationships/hyperlink" Target="https://info.fsc.org/details.php?id=a0240000005sSaVAAU&amp;type=certificate"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americancarbonregistry.org/carbon-accounting/ifm-methodology-for-non-federal-us-forestlands/Columbia%20Carbon%20ACR%20IFM%20Methodology_Semptember%202011.pdf" TargetMode="External"/><Relationship Id="rId20" Type="http://schemas.openxmlformats.org/officeDocument/2006/relationships/hyperlink" Target="http://americancarbonregistry.org/carbon-accounting/ifm-methodology-for-non-federal-us-forestlands/Columbia%20Carbon%20ACR%20IFM%20Methodology_Semptember%20201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americancarbonregistry.org/carbon-accounting/ifm-methodology-for-non-federal-us-forestlands/Columbia%20Carbon%20ACR%20IFM%20Methodology_Semptember%202011.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arb.ca.gov/cc/capandtrade/protocols/usforest/usforestprojects_2015.htm" TargetMode="External"/><Relationship Id="rId3" Type="http://schemas.openxmlformats.org/officeDocument/2006/relationships/hyperlink" Target="https://www.wfas.net/index.php/fire-danger-rating-fire-potential--danger-32" TargetMode="External"/><Relationship Id="rId7" Type="http://schemas.openxmlformats.org/officeDocument/2006/relationships/hyperlink" Target="https://www.tn.gov/content/dam/tn/agriculture/documents/forestry/AgForBMPs.pdf" TargetMode="External"/><Relationship Id="rId2" Type="http://schemas.openxmlformats.org/officeDocument/2006/relationships/hyperlink" Target="https://www.sciencebase.gov/catalog/item/5a96cdc8e4b06990606c4d82" TargetMode="External"/><Relationship Id="rId1" Type="http://schemas.openxmlformats.org/officeDocument/2006/relationships/hyperlink" Target="https://www.tn.gov/content/dam/tn/agriculture/documents/forestry/AgForBMPs.pdf" TargetMode="External"/><Relationship Id="rId6" Type="http://schemas.openxmlformats.org/officeDocument/2006/relationships/hyperlink" Target="https://foresthealth.fs.usda.gov/nidrm/" TargetMode="External"/><Relationship Id="rId5" Type="http://schemas.openxmlformats.org/officeDocument/2006/relationships/hyperlink" Target="https://gacc.nifc.gov/sacc/" TargetMode="External"/><Relationship Id="rId4" Type="http://schemas.openxmlformats.org/officeDocument/2006/relationships/hyperlink" Target="http://www.treesearch.fs.fed.us/pubs/494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B585E-4681-4A07-9495-F0D490EC2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12502</Words>
  <Characters>71268</Characters>
  <Application>Microsoft Office Word</Application>
  <DocSecurity>4</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Winrock International</Company>
  <LinksUpToDate>false</LinksUpToDate>
  <CharactersWithSpaces>83603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GHG Project Plan Template</dc:subject>
  <dc:creator>American Carbon Registry</dc:creator>
  <cp:lastModifiedBy>Nichols, Cynthia L</cp:lastModifiedBy>
  <cp:revision>2</cp:revision>
  <cp:lastPrinted>2010-02-25T22:05:00Z</cp:lastPrinted>
  <dcterms:created xsi:type="dcterms:W3CDTF">2022-08-25T21:17:00Z</dcterms:created>
  <dcterms:modified xsi:type="dcterms:W3CDTF">2022-08-25T21:17:00Z</dcterms:modified>
</cp:coreProperties>
</file>